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468E77">
      <w:pPr>
        <w:keepNext w:val="0"/>
        <w:keepLines w:val="0"/>
        <w:widowControl/>
        <w:numPr>
          <w:ilvl w:val="0"/>
          <w:numId w:val="1"/>
        </w:numPr>
        <w:suppressLineNumbers w:val="0"/>
        <w:jc w:val="left"/>
        <w:rPr>
          <w:rFonts w:hint="default" w:ascii="Times New Roman" w:hAnsi="Times New Roman" w:eastAsia="楷体_GB2312" w:cs="Times New Roman"/>
          <w:color w:val="auto"/>
          <w:u w:val="none"/>
          <w:lang w:val="en-US" w:eastAsia="zh-CN"/>
        </w:rPr>
      </w:pPr>
      <w:r>
        <w:rPr>
          <w:rFonts w:hint="eastAsia" w:ascii="Times New Roman" w:hAnsi="Times New Roman" w:eastAsia="楷体_GB2312" w:cs="Times New Roman"/>
          <w:color w:val="auto"/>
          <w:u w:val="none"/>
          <w:lang w:val="en-US" w:eastAsia="zh-CN"/>
        </w:rPr>
        <w:t>wind、同花顺拉取各期限国债收益率数据，计算各期限久期（用Excel自带的Duration函数就可以），比如10Y_yield，公式为“=DURATION(A2,A2+365*10,J2,J2,1)/(1+J2)”</w:t>
      </w:r>
    </w:p>
    <w:p w14:paraId="09500A4F">
      <w:pPr>
        <w:keepNext w:val="0"/>
        <w:keepLines w:val="0"/>
        <w:widowControl/>
        <w:numPr>
          <w:ilvl w:val="0"/>
          <w:numId w:val="0"/>
        </w:numPr>
        <w:suppressLineNumbers w:val="0"/>
        <w:jc w:val="left"/>
        <w:rPr>
          <w:rFonts w:hint="eastAsia" w:ascii="Times New Roman" w:hAnsi="Times New Roman" w:eastAsia="楷体_GB2312" w:cs="Times New Roman"/>
          <w:color w:val="auto"/>
          <w:u w:val="none"/>
          <w:lang w:val="en-US" w:eastAsia="zh-CN"/>
        </w:rPr>
      </w:pPr>
    </w:p>
    <w:p w14:paraId="3D9308B4">
      <w:pPr>
        <w:keepNext w:val="0"/>
        <w:keepLines w:val="0"/>
        <w:widowControl/>
        <w:numPr>
          <w:ilvl w:val="0"/>
          <w:numId w:val="1"/>
        </w:numPr>
        <w:suppressLineNumbers w:val="0"/>
        <w:ind w:left="0" w:leftChars="0" w:firstLine="0" w:firstLineChars="0"/>
        <w:jc w:val="left"/>
        <w:rPr>
          <w:rFonts w:hint="default" w:ascii="Times New Roman" w:hAnsi="Times New Roman" w:eastAsia="楷体_GB2312" w:cs="Times New Roman"/>
          <w:color w:val="auto"/>
          <w:u w:val="none"/>
          <w:lang w:val="en-US" w:eastAsia="zh-CN"/>
        </w:rPr>
      </w:pPr>
      <w:r>
        <w:rPr>
          <w:rFonts w:hint="eastAsia" w:ascii="Times New Roman" w:hAnsi="Times New Roman" w:eastAsia="楷体_GB2312" w:cs="Times New Roman"/>
          <w:color w:val="auto"/>
          <w:u w:val="none"/>
          <w:lang w:val="en-US" w:eastAsia="zh-CN"/>
        </w:rPr>
        <w:t>期限利差描述性统计</w:t>
      </w:r>
    </w:p>
    <w:p w14:paraId="59D2621C">
      <w:pPr>
        <w:keepNext w:val="0"/>
        <w:keepLines w:val="0"/>
        <w:widowControl/>
        <w:numPr>
          <w:ilvl w:val="0"/>
          <w:numId w:val="0"/>
        </w:numPr>
        <w:suppressLineNumbers w:val="0"/>
        <w:jc w:val="left"/>
        <w:rPr>
          <w:rFonts w:hint="eastAsia" w:ascii="Times New Roman" w:hAnsi="Times New Roman" w:eastAsia="楷体_GB2312" w:cs="Times New Roman"/>
          <w:color w:val="auto"/>
          <w:u w:val="none"/>
          <w:lang w:val="en-US" w:eastAsia="zh-CN"/>
        </w:rPr>
      </w:pPr>
    </w:p>
    <w:tbl>
      <w:tblPr>
        <w:tblStyle w:val="2"/>
        <w:tblW w:w="567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75"/>
        <w:gridCol w:w="567"/>
        <w:gridCol w:w="567"/>
        <w:gridCol w:w="70"/>
        <w:gridCol w:w="398"/>
        <w:gridCol w:w="99"/>
        <w:gridCol w:w="299"/>
        <w:gridCol w:w="268"/>
        <w:gridCol w:w="130"/>
        <w:gridCol w:w="429"/>
        <w:gridCol w:w="8"/>
        <w:gridCol w:w="421"/>
        <w:gridCol w:w="146"/>
        <w:gridCol w:w="238"/>
        <w:gridCol w:w="329"/>
        <w:gridCol w:w="55"/>
        <w:gridCol w:w="415"/>
        <w:gridCol w:w="97"/>
        <w:gridCol w:w="318"/>
        <w:gridCol w:w="249"/>
        <w:gridCol w:w="135"/>
        <w:gridCol w:w="415"/>
        <w:gridCol w:w="17"/>
        <w:gridCol w:w="398"/>
        <w:gridCol w:w="169"/>
        <w:gridCol w:w="246"/>
        <w:gridCol w:w="321"/>
        <w:gridCol w:w="96"/>
        <w:gridCol w:w="447"/>
        <w:gridCol w:w="24"/>
        <w:gridCol w:w="567"/>
        <w:gridCol w:w="567"/>
      </w:tblGrid>
      <w:tr w14:paraId="63EE7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3"/>
          <w:wAfter w:w="598" w:type="pct"/>
          <w:trHeight w:val="580" w:hRule="atLeast"/>
        </w:trPr>
        <w:tc>
          <w:tcPr>
            <w:tcW w:w="4401" w:type="pct"/>
            <w:gridSpan w:val="29"/>
            <w:tcBorders>
              <w:top w:val="nil"/>
              <w:left w:val="nil"/>
              <w:bottom w:val="nil"/>
              <w:right w:val="nil"/>
            </w:tcBorders>
            <w:shd w:val="clear" w:color="auto" w:fill="FFFFFF"/>
            <w:noWrap/>
            <w:vAlign w:val="center"/>
          </w:tcPr>
          <w:p w14:paraId="14D0DDEA">
            <w:pPr>
              <w:rPr>
                <w:rFonts w:hint="eastAsia" w:ascii="宋体" w:hAnsi="宋体" w:eastAsia="宋体" w:cs="宋体"/>
                <w:i w:val="0"/>
                <w:iCs w:val="0"/>
                <w:color w:val="000000"/>
                <w:sz w:val="22"/>
                <w:szCs w:val="22"/>
                <w:u w:val="none"/>
              </w:rPr>
            </w:pPr>
            <w:r>
              <w:rPr>
                <w:rFonts w:hint="eastAsia" w:ascii="楷体" w:hAnsi="楷体" w:eastAsia="楷体" w:cs="楷体"/>
                <w:i/>
                <w:iCs/>
                <w:color w:val="004098"/>
                <w:kern w:val="0"/>
                <w:sz w:val="24"/>
                <w:szCs w:val="24"/>
                <w:u w:val="none"/>
                <w:lang w:val="en-US" w:eastAsia="zh-CN" w:bidi="ar"/>
              </w:rPr>
              <w:t>各期限利差描述性统计量（单位：</w:t>
            </w:r>
            <w:r>
              <w:rPr>
                <w:rStyle w:val="4"/>
                <w:rFonts w:hint="default" w:ascii="Times New Roman" w:hAnsi="Times New Roman" w:cs="Times New Roman"/>
                <w:lang w:val="en-US" w:eastAsia="zh-CN" w:bidi="ar"/>
              </w:rPr>
              <w:t>bp</w:t>
            </w:r>
            <w:r>
              <w:rPr>
                <w:rStyle w:val="5"/>
                <w:lang w:val="en-US" w:eastAsia="zh-CN" w:bidi="ar"/>
              </w:rPr>
              <w:t>）2018.1.1-2025.2.28</w:t>
            </w:r>
          </w:p>
        </w:tc>
      </w:tr>
      <w:tr w14:paraId="6A444E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606" w:type="pct"/>
            <w:tcBorders>
              <w:top w:val="single" w:color="000000" w:sz="12" w:space="0"/>
              <w:left w:val="nil"/>
              <w:bottom w:val="single" w:color="000000" w:sz="4" w:space="0"/>
              <w:right w:val="nil"/>
              <w:tl2br w:val="nil"/>
            </w:tcBorders>
            <w:shd w:val="clear" w:color="auto" w:fill="FFFFFF"/>
            <w:noWrap/>
            <w:vAlign w:val="bottom"/>
          </w:tcPr>
          <w:p w14:paraId="396A172E">
            <w:pPr>
              <w:rPr>
                <w:rFonts w:hint="default" w:ascii="Times New Roman" w:hAnsi="Times New Roman" w:eastAsia="宋体" w:cs="Times New Roman"/>
                <w:b w:val="0"/>
                <w:i w:val="0"/>
                <w:iCs w:val="0"/>
                <w:color w:val="000000"/>
                <w:sz w:val="22"/>
                <w:szCs w:val="22"/>
                <w:u w:val="none"/>
              </w:rPr>
            </w:pPr>
          </w:p>
        </w:tc>
        <w:tc>
          <w:tcPr>
            <w:tcW w:w="292" w:type="pct"/>
            <w:tcBorders>
              <w:top w:val="single" w:color="000000" w:sz="12" w:space="0"/>
              <w:left w:val="nil"/>
              <w:bottom w:val="single" w:color="000000" w:sz="4" w:space="0"/>
              <w:right w:val="nil"/>
              <w:tl2br w:val="nil"/>
            </w:tcBorders>
            <w:shd w:val="clear" w:color="auto" w:fill="FFFFFF"/>
            <w:noWrap/>
            <w:vAlign w:val="top"/>
          </w:tcPr>
          <w:p w14:paraId="6F13DB2F">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1Y-6M</w:t>
            </w:r>
          </w:p>
        </w:tc>
        <w:tc>
          <w:tcPr>
            <w:tcW w:w="292" w:type="pct"/>
            <w:tcBorders>
              <w:top w:val="single" w:color="000000" w:sz="12" w:space="0"/>
              <w:left w:val="nil"/>
              <w:bottom w:val="single" w:color="000000" w:sz="4" w:space="0"/>
              <w:right w:val="nil"/>
            </w:tcBorders>
            <w:shd w:val="clear" w:color="auto" w:fill="FFFFFF"/>
            <w:noWrap/>
            <w:vAlign w:val="top"/>
          </w:tcPr>
          <w:p w14:paraId="3B05EAD8">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3Y-6M</w:t>
            </w:r>
          </w:p>
        </w:tc>
        <w:tc>
          <w:tcPr>
            <w:tcW w:w="292" w:type="pct"/>
            <w:gridSpan w:val="3"/>
            <w:tcBorders>
              <w:top w:val="single" w:color="000000" w:sz="12" w:space="0"/>
              <w:left w:val="nil"/>
              <w:bottom w:val="single" w:color="000000" w:sz="4" w:space="0"/>
              <w:right w:val="nil"/>
            </w:tcBorders>
            <w:shd w:val="clear" w:color="auto" w:fill="FFFFFF"/>
            <w:noWrap/>
            <w:vAlign w:val="top"/>
          </w:tcPr>
          <w:p w14:paraId="19557C56">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5Y-6M</w:t>
            </w:r>
          </w:p>
        </w:tc>
        <w:tc>
          <w:tcPr>
            <w:tcW w:w="292" w:type="pct"/>
            <w:gridSpan w:val="2"/>
            <w:tcBorders>
              <w:top w:val="single" w:color="000000" w:sz="12" w:space="0"/>
              <w:left w:val="nil"/>
              <w:bottom w:val="single" w:color="000000" w:sz="4" w:space="0"/>
              <w:right w:val="nil"/>
            </w:tcBorders>
            <w:shd w:val="clear" w:color="auto" w:fill="FFFFFF"/>
            <w:noWrap/>
            <w:vAlign w:val="top"/>
          </w:tcPr>
          <w:p w14:paraId="01575A8D">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10Y-6M</w:t>
            </w:r>
          </w:p>
        </w:tc>
        <w:tc>
          <w:tcPr>
            <w:tcW w:w="292" w:type="pct"/>
            <w:gridSpan w:val="3"/>
            <w:tcBorders>
              <w:top w:val="single" w:color="000000" w:sz="12" w:space="0"/>
              <w:left w:val="nil"/>
              <w:bottom w:val="single" w:color="000000" w:sz="4" w:space="0"/>
              <w:right w:val="nil"/>
            </w:tcBorders>
            <w:shd w:val="clear" w:color="auto" w:fill="FFFFFF"/>
            <w:noWrap/>
            <w:vAlign w:val="top"/>
          </w:tcPr>
          <w:p w14:paraId="65885362">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30Y-6M</w:t>
            </w:r>
          </w:p>
        </w:tc>
        <w:tc>
          <w:tcPr>
            <w:tcW w:w="292" w:type="pct"/>
            <w:gridSpan w:val="2"/>
            <w:tcBorders>
              <w:top w:val="single" w:color="000000" w:sz="12" w:space="0"/>
              <w:left w:val="nil"/>
              <w:bottom w:val="single" w:color="000000" w:sz="4" w:space="0"/>
              <w:right w:val="nil"/>
            </w:tcBorders>
            <w:shd w:val="clear" w:color="auto" w:fill="F1F1F1" w:themeFill="background1" w:themeFillShade="F2"/>
            <w:noWrap/>
            <w:vAlign w:val="top"/>
          </w:tcPr>
          <w:p w14:paraId="35894B99">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3Y-1Y</w:t>
            </w:r>
          </w:p>
        </w:tc>
        <w:tc>
          <w:tcPr>
            <w:tcW w:w="292" w:type="pct"/>
            <w:gridSpan w:val="2"/>
            <w:tcBorders>
              <w:top w:val="single" w:color="000000" w:sz="12" w:space="0"/>
              <w:left w:val="nil"/>
              <w:bottom w:val="single" w:color="000000" w:sz="4" w:space="0"/>
              <w:right w:val="nil"/>
            </w:tcBorders>
            <w:shd w:val="clear" w:color="auto" w:fill="F1F1F1" w:themeFill="background1" w:themeFillShade="F2"/>
            <w:noWrap/>
            <w:vAlign w:val="top"/>
          </w:tcPr>
          <w:p w14:paraId="67852126">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5Y-1Y</w:t>
            </w:r>
          </w:p>
        </w:tc>
        <w:tc>
          <w:tcPr>
            <w:tcW w:w="292" w:type="pct"/>
            <w:gridSpan w:val="3"/>
            <w:tcBorders>
              <w:top w:val="single" w:color="000000" w:sz="12" w:space="0"/>
              <w:left w:val="nil"/>
              <w:bottom w:val="single" w:color="000000" w:sz="4" w:space="0"/>
              <w:right w:val="nil"/>
            </w:tcBorders>
            <w:shd w:val="clear" w:color="auto" w:fill="FFFFFF"/>
            <w:noWrap/>
            <w:vAlign w:val="top"/>
          </w:tcPr>
          <w:p w14:paraId="6D5A7007">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10Y-1Y</w:t>
            </w:r>
          </w:p>
        </w:tc>
        <w:tc>
          <w:tcPr>
            <w:tcW w:w="292" w:type="pct"/>
            <w:gridSpan w:val="2"/>
            <w:tcBorders>
              <w:top w:val="single" w:color="000000" w:sz="12" w:space="0"/>
              <w:left w:val="nil"/>
              <w:bottom w:val="single" w:color="000000" w:sz="4" w:space="0"/>
              <w:right w:val="nil"/>
            </w:tcBorders>
            <w:shd w:val="clear" w:color="auto" w:fill="FFFFFF"/>
            <w:noWrap/>
            <w:vAlign w:val="top"/>
          </w:tcPr>
          <w:p w14:paraId="40607272">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30Y-1Y</w:t>
            </w:r>
          </w:p>
        </w:tc>
        <w:tc>
          <w:tcPr>
            <w:tcW w:w="292" w:type="pct"/>
            <w:gridSpan w:val="3"/>
            <w:tcBorders>
              <w:top w:val="single" w:color="000000" w:sz="12" w:space="0"/>
              <w:left w:val="nil"/>
              <w:bottom w:val="single" w:color="000000" w:sz="4" w:space="0"/>
              <w:right w:val="nil"/>
            </w:tcBorders>
            <w:shd w:val="clear" w:color="auto" w:fill="FFFFFF"/>
            <w:noWrap/>
            <w:vAlign w:val="top"/>
          </w:tcPr>
          <w:p w14:paraId="0DD3A23F">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5Y-3Y</w:t>
            </w:r>
          </w:p>
        </w:tc>
        <w:tc>
          <w:tcPr>
            <w:tcW w:w="292" w:type="pct"/>
            <w:gridSpan w:val="2"/>
            <w:tcBorders>
              <w:top w:val="single" w:color="000000" w:sz="12" w:space="0"/>
              <w:left w:val="nil"/>
              <w:bottom w:val="single" w:color="000000" w:sz="4" w:space="0"/>
              <w:right w:val="nil"/>
            </w:tcBorders>
            <w:shd w:val="clear" w:color="auto" w:fill="FFFFFF"/>
            <w:noWrap/>
            <w:vAlign w:val="top"/>
          </w:tcPr>
          <w:p w14:paraId="18E021FA">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10Y-3Y</w:t>
            </w:r>
          </w:p>
        </w:tc>
        <w:tc>
          <w:tcPr>
            <w:tcW w:w="292" w:type="pct"/>
            <w:gridSpan w:val="2"/>
            <w:tcBorders>
              <w:top w:val="single" w:color="000000" w:sz="12" w:space="0"/>
              <w:left w:val="nil"/>
              <w:bottom w:val="single" w:color="000000" w:sz="4" w:space="0"/>
              <w:right w:val="nil"/>
            </w:tcBorders>
            <w:shd w:val="clear" w:color="auto" w:fill="FFFFFF"/>
            <w:noWrap/>
            <w:vAlign w:val="top"/>
          </w:tcPr>
          <w:p w14:paraId="69085646">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30Y-3Y</w:t>
            </w:r>
          </w:p>
        </w:tc>
        <w:tc>
          <w:tcPr>
            <w:tcW w:w="292" w:type="pct"/>
            <w:gridSpan w:val="3"/>
            <w:tcBorders>
              <w:top w:val="single" w:color="000000" w:sz="12" w:space="0"/>
              <w:left w:val="nil"/>
              <w:bottom w:val="single" w:color="000000" w:sz="4" w:space="0"/>
              <w:right w:val="nil"/>
            </w:tcBorders>
            <w:shd w:val="clear" w:color="auto" w:fill="FFFFFF"/>
            <w:noWrap/>
            <w:vAlign w:val="top"/>
          </w:tcPr>
          <w:p w14:paraId="3883C155">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10Y-5Y</w:t>
            </w:r>
          </w:p>
        </w:tc>
        <w:tc>
          <w:tcPr>
            <w:tcW w:w="292" w:type="pct"/>
            <w:tcBorders>
              <w:top w:val="single" w:color="000000" w:sz="12" w:space="0"/>
              <w:left w:val="nil"/>
              <w:bottom w:val="single" w:color="000000" w:sz="4" w:space="0"/>
              <w:right w:val="nil"/>
            </w:tcBorders>
            <w:shd w:val="clear" w:color="auto" w:fill="FFFFFF"/>
            <w:noWrap/>
            <w:vAlign w:val="top"/>
          </w:tcPr>
          <w:p w14:paraId="300FE63B">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30Y-5Y</w:t>
            </w:r>
          </w:p>
        </w:tc>
        <w:tc>
          <w:tcPr>
            <w:tcW w:w="292" w:type="pct"/>
            <w:tcBorders>
              <w:top w:val="single" w:color="000000" w:sz="12" w:space="0"/>
              <w:left w:val="nil"/>
              <w:bottom w:val="single" w:color="000000" w:sz="4" w:space="0"/>
              <w:right w:val="nil"/>
            </w:tcBorders>
            <w:shd w:val="clear" w:color="auto" w:fill="FFFFFF"/>
            <w:noWrap/>
            <w:vAlign w:val="top"/>
          </w:tcPr>
          <w:p w14:paraId="24678DC2">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15"/>
                <w:szCs w:val="15"/>
                <w:u w:val="none"/>
              </w:rPr>
            </w:pPr>
            <w:r>
              <w:rPr>
                <w:rFonts w:hint="default" w:ascii="Times New Roman" w:hAnsi="Times New Roman" w:eastAsia="宋体" w:cs="Times New Roman"/>
                <w:b w:val="0"/>
                <w:bCs/>
                <w:i w:val="0"/>
                <w:iCs w:val="0"/>
                <w:color w:val="000000"/>
                <w:kern w:val="0"/>
                <w:sz w:val="15"/>
                <w:szCs w:val="15"/>
                <w:u w:val="none"/>
                <w:lang w:val="en-US" w:eastAsia="zh-CN" w:bidi="ar"/>
              </w:rPr>
              <w:t>30Y-10Y</w:t>
            </w:r>
          </w:p>
        </w:tc>
      </w:tr>
      <w:tr w14:paraId="39B3F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606" w:type="pct"/>
            <w:tcBorders>
              <w:top w:val="single" w:color="000000" w:sz="4" w:space="0"/>
              <w:left w:val="nil"/>
              <w:bottom w:val="nil"/>
              <w:right w:val="nil"/>
            </w:tcBorders>
            <w:shd w:val="clear" w:color="auto" w:fill="FFFFFF"/>
            <w:noWrap/>
            <w:vAlign w:val="top"/>
          </w:tcPr>
          <w:p w14:paraId="56AA67F1">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Fonts w:hint="default" w:ascii="Times New Roman" w:hAnsi="Times New Roman" w:eastAsia="宋体" w:cs="Times New Roman"/>
                <w:b w:val="0"/>
                <w:bCs/>
                <w:i w:val="0"/>
                <w:iCs w:val="0"/>
                <w:color w:val="000000"/>
                <w:kern w:val="0"/>
                <w:sz w:val="22"/>
                <w:szCs w:val="22"/>
                <w:u w:val="none"/>
                <w:lang w:val="en-US" w:eastAsia="zh-CN" w:bidi="ar"/>
              </w:rPr>
              <w:t>mean</w:t>
            </w:r>
          </w:p>
        </w:tc>
        <w:tc>
          <w:tcPr>
            <w:tcW w:w="292" w:type="pct"/>
            <w:tcBorders>
              <w:top w:val="single" w:color="000000" w:sz="4" w:space="0"/>
              <w:left w:val="nil"/>
              <w:bottom w:val="nil"/>
              <w:right w:val="nil"/>
            </w:tcBorders>
            <w:shd w:val="clear" w:color="auto" w:fill="FFFFFF"/>
            <w:noWrap/>
            <w:vAlign w:val="bottom"/>
          </w:tcPr>
          <w:p w14:paraId="4838E5A6">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11</w:t>
            </w:r>
          </w:p>
        </w:tc>
        <w:tc>
          <w:tcPr>
            <w:tcW w:w="292" w:type="pct"/>
            <w:tcBorders>
              <w:top w:val="single" w:color="000000" w:sz="4" w:space="0"/>
              <w:left w:val="nil"/>
              <w:bottom w:val="nil"/>
              <w:right w:val="nil"/>
            </w:tcBorders>
            <w:shd w:val="clear" w:color="auto" w:fill="FFFFFF"/>
            <w:noWrap/>
            <w:vAlign w:val="bottom"/>
          </w:tcPr>
          <w:p w14:paraId="3A66168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39</w:t>
            </w:r>
          </w:p>
        </w:tc>
        <w:tc>
          <w:tcPr>
            <w:tcW w:w="292" w:type="pct"/>
            <w:gridSpan w:val="3"/>
            <w:tcBorders>
              <w:top w:val="single" w:color="000000" w:sz="4" w:space="0"/>
              <w:left w:val="nil"/>
              <w:bottom w:val="nil"/>
              <w:right w:val="nil"/>
            </w:tcBorders>
            <w:shd w:val="clear" w:color="auto" w:fill="FFFFFF"/>
            <w:noWrap/>
            <w:vAlign w:val="bottom"/>
          </w:tcPr>
          <w:p w14:paraId="6F3B1195">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56</w:t>
            </w:r>
          </w:p>
        </w:tc>
        <w:tc>
          <w:tcPr>
            <w:tcW w:w="292" w:type="pct"/>
            <w:gridSpan w:val="2"/>
            <w:tcBorders>
              <w:top w:val="single" w:color="000000" w:sz="4" w:space="0"/>
              <w:left w:val="nil"/>
              <w:bottom w:val="nil"/>
              <w:right w:val="nil"/>
            </w:tcBorders>
            <w:shd w:val="clear" w:color="auto" w:fill="FFFFFF"/>
            <w:noWrap/>
            <w:vAlign w:val="bottom"/>
          </w:tcPr>
          <w:p w14:paraId="439BD8A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77</w:t>
            </w:r>
          </w:p>
        </w:tc>
        <w:tc>
          <w:tcPr>
            <w:tcW w:w="292" w:type="pct"/>
            <w:gridSpan w:val="3"/>
            <w:tcBorders>
              <w:top w:val="single" w:color="000000" w:sz="4" w:space="0"/>
              <w:left w:val="nil"/>
              <w:bottom w:val="nil"/>
              <w:right w:val="nil"/>
            </w:tcBorders>
            <w:shd w:val="clear" w:color="auto" w:fill="FFFFFF"/>
            <w:noWrap/>
            <w:vAlign w:val="bottom"/>
          </w:tcPr>
          <w:p w14:paraId="0616259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124</w:t>
            </w:r>
          </w:p>
        </w:tc>
        <w:tc>
          <w:tcPr>
            <w:tcW w:w="292" w:type="pct"/>
            <w:gridSpan w:val="2"/>
            <w:tcBorders>
              <w:top w:val="single" w:color="000000" w:sz="4" w:space="0"/>
              <w:left w:val="nil"/>
              <w:bottom w:val="nil"/>
              <w:right w:val="nil"/>
            </w:tcBorders>
            <w:shd w:val="clear" w:color="auto" w:fill="F1F1F1" w:themeFill="background1" w:themeFillShade="F2"/>
            <w:noWrap/>
            <w:vAlign w:val="bottom"/>
          </w:tcPr>
          <w:p w14:paraId="3F45F2C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29</w:t>
            </w:r>
          </w:p>
        </w:tc>
        <w:tc>
          <w:tcPr>
            <w:tcW w:w="292" w:type="pct"/>
            <w:gridSpan w:val="2"/>
            <w:tcBorders>
              <w:top w:val="single" w:color="000000" w:sz="4" w:space="0"/>
              <w:left w:val="nil"/>
              <w:bottom w:val="nil"/>
              <w:right w:val="nil"/>
            </w:tcBorders>
            <w:shd w:val="clear" w:color="auto" w:fill="F1F1F1" w:themeFill="background1" w:themeFillShade="F2"/>
            <w:noWrap/>
            <w:vAlign w:val="bottom"/>
          </w:tcPr>
          <w:p w14:paraId="23FFC57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46</w:t>
            </w:r>
          </w:p>
        </w:tc>
        <w:tc>
          <w:tcPr>
            <w:tcW w:w="292" w:type="pct"/>
            <w:gridSpan w:val="3"/>
            <w:tcBorders>
              <w:top w:val="single" w:color="000000" w:sz="4" w:space="0"/>
              <w:left w:val="nil"/>
              <w:bottom w:val="nil"/>
              <w:right w:val="nil"/>
            </w:tcBorders>
            <w:shd w:val="clear" w:color="auto" w:fill="FFFFFF"/>
            <w:noWrap/>
            <w:vAlign w:val="bottom"/>
          </w:tcPr>
          <w:p w14:paraId="162B9446">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66</w:t>
            </w:r>
          </w:p>
        </w:tc>
        <w:tc>
          <w:tcPr>
            <w:tcW w:w="292" w:type="pct"/>
            <w:gridSpan w:val="2"/>
            <w:tcBorders>
              <w:top w:val="single" w:color="000000" w:sz="4" w:space="0"/>
              <w:left w:val="nil"/>
              <w:bottom w:val="nil"/>
              <w:right w:val="nil"/>
            </w:tcBorders>
            <w:shd w:val="clear" w:color="auto" w:fill="FFFFFF"/>
            <w:noWrap/>
            <w:vAlign w:val="bottom"/>
          </w:tcPr>
          <w:p w14:paraId="565CA50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113</w:t>
            </w:r>
          </w:p>
        </w:tc>
        <w:tc>
          <w:tcPr>
            <w:tcW w:w="292" w:type="pct"/>
            <w:gridSpan w:val="3"/>
            <w:tcBorders>
              <w:top w:val="single" w:color="000000" w:sz="4" w:space="0"/>
              <w:left w:val="nil"/>
              <w:bottom w:val="nil"/>
              <w:right w:val="nil"/>
            </w:tcBorders>
            <w:shd w:val="clear" w:color="auto" w:fill="FFFFFF"/>
            <w:noWrap/>
            <w:vAlign w:val="bottom"/>
          </w:tcPr>
          <w:p w14:paraId="52C9866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17</w:t>
            </w:r>
          </w:p>
        </w:tc>
        <w:tc>
          <w:tcPr>
            <w:tcW w:w="292" w:type="pct"/>
            <w:gridSpan w:val="2"/>
            <w:tcBorders>
              <w:top w:val="single" w:color="000000" w:sz="4" w:space="0"/>
              <w:left w:val="nil"/>
              <w:bottom w:val="nil"/>
              <w:right w:val="nil"/>
            </w:tcBorders>
            <w:shd w:val="clear" w:color="auto" w:fill="FFFFFF"/>
            <w:noWrap/>
            <w:vAlign w:val="bottom"/>
          </w:tcPr>
          <w:p w14:paraId="5A1FB80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37</w:t>
            </w:r>
          </w:p>
        </w:tc>
        <w:tc>
          <w:tcPr>
            <w:tcW w:w="292" w:type="pct"/>
            <w:gridSpan w:val="2"/>
            <w:tcBorders>
              <w:top w:val="single" w:color="000000" w:sz="4" w:space="0"/>
              <w:left w:val="nil"/>
              <w:bottom w:val="nil"/>
              <w:right w:val="nil"/>
            </w:tcBorders>
            <w:shd w:val="clear" w:color="auto" w:fill="FFFFFF"/>
            <w:noWrap/>
            <w:vAlign w:val="bottom"/>
          </w:tcPr>
          <w:p w14:paraId="3B838256">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84</w:t>
            </w:r>
          </w:p>
        </w:tc>
        <w:tc>
          <w:tcPr>
            <w:tcW w:w="292" w:type="pct"/>
            <w:gridSpan w:val="3"/>
            <w:tcBorders>
              <w:top w:val="single" w:color="000000" w:sz="4" w:space="0"/>
              <w:left w:val="nil"/>
              <w:bottom w:val="nil"/>
              <w:right w:val="nil"/>
            </w:tcBorders>
            <w:shd w:val="clear" w:color="auto" w:fill="FFFFFF"/>
            <w:noWrap/>
            <w:vAlign w:val="bottom"/>
          </w:tcPr>
          <w:p w14:paraId="242DF745">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20</w:t>
            </w:r>
          </w:p>
        </w:tc>
        <w:tc>
          <w:tcPr>
            <w:tcW w:w="292" w:type="pct"/>
            <w:tcBorders>
              <w:top w:val="single" w:color="000000" w:sz="4" w:space="0"/>
              <w:left w:val="nil"/>
              <w:bottom w:val="nil"/>
              <w:right w:val="nil"/>
            </w:tcBorders>
            <w:shd w:val="clear" w:color="auto" w:fill="FFFFFF"/>
            <w:noWrap/>
            <w:vAlign w:val="bottom"/>
          </w:tcPr>
          <w:p w14:paraId="0961ACF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67</w:t>
            </w:r>
          </w:p>
        </w:tc>
        <w:tc>
          <w:tcPr>
            <w:tcW w:w="292" w:type="pct"/>
            <w:tcBorders>
              <w:top w:val="single" w:color="000000" w:sz="4" w:space="0"/>
              <w:left w:val="nil"/>
              <w:bottom w:val="nil"/>
              <w:right w:val="nil"/>
            </w:tcBorders>
            <w:shd w:val="clear" w:color="auto" w:fill="FFFFFF"/>
            <w:noWrap/>
            <w:vAlign w:val="bottom"/>
          </w:tcPr>
          <w:p w14:paraId="2CB3B9E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47</w:t>
            </w:r>
          </w:p>
        </w:tc>
      </w:tr>
      <w:tr w14:paraId="6EDBBF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top"/>
          </w:tcPr>
          <w:p w14:paraId="7C4C3283">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Fonts w:hint="default" w:ascii="Times New Roman" w:hAnsi="Times New Roman" w:eastAsia="宋体" w:cs="Times New Roman"/>
                <w:b w:val="0"/>
                <w:bCs/>
                <w:i w:val="0"/>
                <w:iCs w:val="0"/>
                <w:color w:val="000000"/>
                <w:kern w:val="0"/>
                <w:sz w:val="22"/>
                <w:szCs w:val="22"/>
                <w:u w:val="none"/>
                <w:lang w:val="en-US" w:eastAsia="zh-CN" w:bidi="ar"/>
              </w:rPr>
              <w:t>std</w:t>
            </w:r>
          </w:p>
        </w:tc>
        <w:tc>
          <w:tcPr>
            <w:tcW w:w="292" w:type="pct"/>
            <w:tcBorders>
              <w:top w:val="nil"/>
              <w:left w:val="nil"/>
              <w:bottom w:val="nil"/>
              <w:right w:val="nil"/>
            </w:tcBorders>
            <w:shd w:val="clear" w:color="auto" w:fill="FFFFFF"/>
            <w:noWrap/>
            <w:vAlign w:val="bottom"/>
          </w:tcPr>
          <w:p w14:paraId="13A8267F">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12</w:t>
            </w:r>
          </w:p>
        </w:tc>
        <w:tc>
          <w:tcPr>
            <w:tcW w:w="292" w:type="pct"/>
            <w:tcBorders>
              <w:top w:val="nil"/>
              <w:left w:val="nil"/>
              <w:bottom w:val="nil"/>
              <w:right w:val="nil"/>
            </w:tcBorders>
            <w:shd w:val="clear" w:color="auto" w:fill="FFFFFF"/>
            <w:noWrap/>
            <w:vAlign w:val="bottom"/>
          </w:tcPr>
          <w:p w14:paraId="0DF68E8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18</w:t>
            </w:r>
          </w:p>
        </w:tc>
        <w:tc>
          <w:tcPr>
            <w:tcW w:w="292" w:type="pct"/>
            <w:gridSpan w:val="3"/>
            <w:tcBorders>
              <w:top w:val="nil"/>
              <w:left w:val="nil"/>
              <w:bottom w:val="nil"/>
              <w:right w:val="nil"/>
            </w:tcBorders>
            <w:shd w:val="clear" w:color="auto" w:fill="FFFFFF"/>
            <w:noWrap/>
            <w:vAlign w:val="bottom"/>
          </w:tcPr>
          <w:p w14:paraId="767D667A">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20</w:t>
            </w:r>
          </w:p>
        </w:tc>
        <w:tc>
          <w:tcPr>
            <w:tcW w:w="292" w:type="pct"/>
            <w:gridSpan w:val="2"/>
            <w:tcBorders>
              <w:top w:val="nil"/>
              <w:left w:val="nil"/>
              <w:bottom w:val="nil"/>
              <w:right w:val="nil"/>
            </w:tcBorders>
            <w:shd w:val="clear" w:color="auto" w:fill="FFFFFF"/>
            <w:noWrap/>
            <w:vAlign w:val="bottom"/>
          </w:tcPr>
          <w:p w14:paraId="1B214D77">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23</w:t>
            </w:r>
          </w:p>
        </w:tc>
        <w:tc>
          <w:tcPr>
            <w:tcW w:w="292" w:type="pct"/>
            <w:gridSpan w:val="3"/>
            <w:tcBorders>
              <w:top w:val="nil"/>
              <w:left w:val="nil"/>
              <w:bottom w:val="nil"/>
              <w:right w:val="nil"/>
            </w:tcBorders>
            <w:shd w:val="clear" w:color="auto" w:fill="FFFFFF"/>
            <w:noWrap/>
            <w:vAlign w:val="bottom"/>
          </w:tcPr>
          <w:p w14:paraId="1BB5AB3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33</w:t>
            </w:r>
          </w:p>
        </w:tc>
        <w:tc>
          <w:tcPr>
            <w:tcW w:w="292" w:type="pct"/>
            <w:gridSpan w:val="2"/>
            <w:tcBorders>
              <w:top w:val="nil"/>
              <w:left w:val="nil"/>
              <w:bottom w:val="nil"/>
              <w:right w:val="nil"/>
            </w:tcBorders>
            <w:shd w:val="clear" w:color="auto" w:fill="F1F1F1" w:themeFill="background1" w:themeFillShade="F2"/>
            <w:noWrap/>
            <w:vAlign w:val="bottom"/>
          </w:tcPr>
          <w:p w14:paraId="2A14D7E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11</w:t>
            </w:r>
          </w:p>
        </w:tc>
        <w:tc>
          <w:tcPr>
            <w:tcW w:w="292" w:type="pct"/>
            <w:gridSpan w:val="2"/>
            <w:tcBorders>
              <w:top w:val="nil"/>
              <w:left w:val="nil"/>
              <w:bottom w:val="nil"/>
              <w:right w:val="nil"/>
            </w:tcBorders>
            <w:shd w:val="clear" w:color="auto" w:fill="F1F1F1" w:themeFill="background1" w:themeFillShade="F2"/>
            <w:noWrap/>
            <w:vAlign w:val="bottom"/>
          </w:tcPr>
          <w:p w14:paraId="42AC04D7">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13</w:t>
            </w:r>
          </w:p>
        </w:tc>
        <w:tc>
          <w:tcPr>
            <w:tcW w:w="292" w:type="pct"/>
            <w:gridSpan w:val="3"/>
            <w:tcBorders>
              <w:top w:val="nil"/>
              <w:left w:val="nil"/>
              <w:bottom w:val="nil"/>
              <w:right w:val="nil"/>
            </w:tcBorders>
            <w:shd w:val="clear" w:color="auto" w:fill="FFFFFF"/>
            <w:noWrap/>
            <w:vAlign w:val="bottom"/>
          </w:tcPr>
          <w:p w14:paraId="56C844FF">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18</w:t>
            </w:r>
          </w:p>
        </w:tc>
        <w:tc>
          <w:tcPr>
            <w:tcW w:w="292" w:type="pct"/>
            <w:gridSpan w:val="2"/>
            <w:tcBorders>
              <w:top w:val="nil"/>
              <w:left w:val="nil"/>
              <w:bottom w:val="nil"/>
              <w:right w:val="nil"/>
            </w:tcBorders>
            <w:shd w:val="clear" w:color="auto" w:fill="FFFFFF"/>
            <w:noWrap/>
            <w:vAlign w:val="bottom"/>
          </w:tcPr>
          <w:p w14:paraId="7FCE7D8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27</w:t>
            </w:r>
          </w:p>
        </w:tc>
        <w:tc>
          <w:tcPr>
            <w:tcW w:w="292" w:type="pct"/>
            <w:gridSpan w:val="3"/>
            <w:tcBorders>
              <w:top w:val="nil"/>
              <w:left w:val="nil"/>
              <w:bottom w:val="nil"/>
              <w:right w:val="nil"/>
            </w:tcBorders>
            <w:shd w:val="clear" w:color="auto" w:fill="FFFFFF"/>
            <w:noWrap/>
            <w:vAlign w:val="bottom"/>
          </w:tcPr>
          <w:p w14:paraId="1350950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6</w:t>
            </w:r>
          </w:p>
        </w:tc>
        <w:tc>
          <w:tcPr>
            <w:tcW w:w="292" w:type="pct"/>
            <w:gridSpan w:val="2"/>
            <w:tcBorders>
              <w:top w:val="nil"/>
              <w:left w:val="nil"/>
              <w:bottom w:val="nil"/>
              <w:right w:val="nil"/>
            </w:tcBorders>
            <w:shd w:val="clear" w:color="auto" w:fill="FFFFFF"/>
            <w:noWrap/>
            <w:vAlign w:val="bottom"/>
          </w:tcPr>
          <w:p w14:paraId="5EB66625">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13</w:t>
            </w:r>
          </w:p>
        </w:tc>
        <w:tc>
          <w:tcPr>
            <w:tcW w:w="292" w:type="pct"/>
            <w:gridSpan w:val="2"/>
            <w:tcBorders>
              <w:top w:val="nil"/>
              <w:left w:val="nil"/>
              <w:bottom w:val="nil"/>
              <w:right w:val="nil"/>
            </w:tcBorders>
            <w:shd w:val="clear" w:color="auto" w:fill="FFFFFF"/>
            <w:noWrap/>
            <w:vAlign w:val="bottom"/>
          </w:tcPr>
          <w:p w14:paraId="3B034EC7">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22</w:t>
            </w:r>
          </w:p>
        </w:tc>
        <w:tc>
          <w:tcPr>
            <w:tcW w:w="292" w:type="pct"/>
            <w:gridSpan w:val="3"/>
            <w:tcBorders>
              <w:top w:val="nil"/>
              <w:left w:val="nil"/>
              <w:bottom w:val="nil"/>
              <w:right w:val="nil"/>
            </w:tcBorders>
            <w:shd w:val="clear" w:color="auto" w:fill="FFFFFF"/>
            <w:noWrap/>
            <w:vAlign w:val="bottom"/>
          </w:tcPr>
          <w:p w14:paraId="080846BA">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9</w:t>
            </w:r>
          </w:p>
        </w:tc>
        <w:tc>
          <w:tcPr>
            <w:tcW w:w="292" w:type="pct"/>
            <w:tcBorders>
              <w:top w:val="nil"/>
              <w:left w:val="nil"/>
              <w:bottom w:val="nil"/>
              <w:right w:val="nil"/>
            </w:tcBorders>
            <w:shd w:val="clear" w:color="auto" w:fill="FFFFFF"/>
            <w:noWrap/>
            <w:vAlign w:val="bottom"/>
          </w:tcPr>
          <w:p w14:paraId="1C3A7FD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19</w:t>
            </w:r>
          </w:p>
        </w:tc>
        <w:tc>
          <w:tcPr>
            <w:tcW w:w="292" w:type="pct"/>
            <w:tcBorders>
              <w:top w:val="nil"/>
              <w:left w:val="nil"/>
              <w:bottom w:val="nil"/>
              <w:right w:val="nil"/>
            </w:tcBorders>
            <w:shd w:val="clear" w:color="auto" w:fill="FFFFFF"/>
            <w:noWrap/>
            <w:vAlign w:val="bottom"/>
          </w:tcPr>
          <w:p w14:paraId="7CD4C8F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16</w:t>
            </w:r>
          </w:p>
        </w:tc>
      </w:tr>
      <w:tr w14:paraId="4E6201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top"/>
          </w:tcPr>
          <w:p w14:paraId="04D7451C">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Fonts w:hint="default" w:ascii="Times New Roman" w:hAnsi="Times New Roman" w:eastAsia="宋体" w:cs="Times New Roman"/>
                <w:b w:val="0"/>
                <w:bCs/>
                <w:i w:val="0"/>
                <w:iCs w:val="0"/>
                <w:color w:val="000000"/>
                <w:kern w:val="0"/>
                <w:sz w:val="22"/>
                <w:szCs w:val="22"/>
                <w:u w:val="none"/>
                <w:lang w:val="en-US" w:eastAsia="zh-CN" w:bidi="ar"/>
              </w:rPr>
              <w:t>min</w:t>
            </w:r>
          </w:p>
        </w:tc>
        <w:tc>
          <w:tcPr>
            <w:tcW w:w="292" w:type="pct"/>
            <w:tcBorders>
              <w:top w:val="nil"/>
              <w:left w:val="nil"/>
              <w:bottom w:val="nil"/>
              <w:right w:val="nil"/>
            </w:tcBorders>
            <w:shd w:val="clear" w:color="auto" w:fill="FFFFFF"/>
            <w:noWrap/>
            <w:vAlign w:val="bottom"/>
          </w:tcPr>
          <w:p w14:paraId="19CB8D2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-23</w:t>
            </w:r>
          </w:p>
        </w:tc>
        <w:tc>
          <w:tcPr>
            <w:tcW w:w="292" w:type="pct"/>
            <w:tcBorders>
              <w:top w:val="nil"/>
              <w:left w:val="nil"/>
              <w:bottom w:val="nil"/>
              <w:right w:val="nil"/>
            </w:tcBorders>
            <w:shd w:val="clear" w:color="auto" w:fill="FFFFFF"/>
            <w:noWrap/>
            <w:vAlign w:val="bottom"/>
          </w:tcPr>
          <w:p w14:paraId="48EA842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-15</w:t>
            </w:r>
          </w:p>
        </w:tc>
        <w:tc>
          <w:tcPr>
            <w:tcW w:w="292" w:type="pct"/>
            <w:gridSpan w:val="3"/>
            <w:tcBorders>
              <w:top w:val="nil"/>
              <w:left w:val="nil"/>
              <w:bottom w:val="nil"/>
              <w:right w:val="nil"/>
            </w:tcBorders>
            <w:shd w:val="clear" w:color="auto" w:fill="FFFFFF"/>
            <w:noWrap/>
            <w:vAlign w:val="bottom"/>
          </w:tcPr>
          <w:p w14:paraId="4CB64A8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w:t>
            </w:r>
          </w:p>
        </w:tc>
        <w:tc>
          <w:tcPr>
            <w:tcW w:w="292" w:type="pct"/>
            <w:gridSpan w:val="2"/>
            <w:tcBorders>
              <w:top w:val="nil"/>
              <w:left w:val="nil"/>
              <w:bottom w:val="nil"/>
              <w:right w:val="nil"/>
            </w:tcBorders>
            <w:shd w:val="clear" w:color="auto" w:fill="FFFFFF"/>
            <w:noWrap/>
            <w:vAlign w:val="bottom"/>
          </w:tcPr>
          <w:p w14:paraId="65D2B3E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w:t>
            </w:r>
          </w:p>
        </w:tc>
        <w:tc>
          <w:tcPr>
            <w:tcW w:w="292" w:type="pct"/>
            <w:gridSpan w:val="3"/>
            <w:tcBorders>
              <w:top w:val="nil"/>
              <w:left w:val="nil"/>
              <w:bottom w:val="nil"/>
              <w:right w:val="nil"/>
            </w:tcBorders>
            <w:shd w:val="clear" w:color="auto" w:fill="FFFFFF"/>
            <w:noWrap/>
            <w:vAlign w:val="bottom"/>
          </w:tcPr>
          <w:p w14:paraId="00F645B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34</w:t>
            </w:r>
          </w:p>
        </w:tc>
        <w:tc>
          <w:tcPr>
            <w:tcW w:w="292" w:type="pct"/>
            <w:gridSpan w:val="2"/>
            <w:tcBorders>
              <w:top w:val="nil"/>
              <w:left w:val="nil"/>
              <w:bottom w:val="nil"/>
              <w:right w:val="nil"/>
            </w:tcBorders>
            <w:shd w:val="clear" w:color="auto" w:fill="F1F1F1" w:themeFill="background1" w:themeFillShade="F2"/>
            <w:noWrap/>
            <w:vAlign w:val="bottom"/>
          </w:tcPr>
          <w:p w14:paraId="79B4359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w:t>
            </w:r>
          </w:p>
        </w:tc>
        <w:tc>
          <w:tcPr>
            <w:tcW w:w="292" w:type="pct"/>
            <w:gridSpan w:val="2"/>
            <w:tcBorders>
              <w:top w:val="nil"/>
              <w:left w:val="nil"/>
              <w:bottom w:val="nil"/>
              <w:right w:val="nil"/>
            </w:tcBorders>
            <w:shd w:val="clear" w:color="auto" w:fill="F1F1F1" w:themeFill="background1" w:themeFillShade="F2"/>
            <w:noWrap/>
            <w:vAlign w:val="bottom"/>
          </w:tcPr>
          <w:p w14:paraId="331806E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w:t>
            </w:r>
          </w:p>
        </w:tc>
        <w:tc>
          <w:tcPr>
            <w:tcW w:w="292" w:type="pct"/>
            <w:gridSpan w:val="3"/>
            <w:tcBorders>
              <w:top w:val="nil"/>
              <w:left w:val="nil"/>
              <w:bottom w:val="nil"/>
              <w:right w:val="nil"/>
            </w:tcBorders>
            <w:shd w:val="clear" w:color="auto" w:fill="FFFFFF"/>
            <w:noWrap/>
            <w:vAlign w:val="bottom"/>
          </w:tcPr>
          <w:p w14:paraId="5BA46BC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8</w:t>
            </w:r>
          </w:p>
        </w:tc>
        <w:tc>
          <w:tcPr>
            <w:tcW w:w="292" w:type="pct"/>
            <w:gridSpan w:val="2"/>
            <w:tcBorders>
              <w:top w:val="nil"/>
              <w:left w:val="nil"/>
              <w:bottom w:val="nil"/>
              <w:right w:val="nil"/>
            </w:tcBorders>
            <w:shd w:val="clear" w:color="auto" w:fill="FFFFFF"/>
            <w:noWrap/>
            <w:vAlign w:val="bottom"/>
          </w:tcPr>
          <w:p w14:paraId="4B48F656">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38</w:t>
            </w:r>
          </w:p>
        </w:tc>
        <w:tc>
          <w:tcPr>
            <w:tcW w:w="292" w:type="pct"/>
            <w:gridSpan w:val="3"/>
            <w:tcBorders>
              <w:top w:val="nil"/>
              <w:left w:val="nil"/>
              <w:bottom w:val="nil"/>
              <w:right w:val="nil"/>
            </w:tcBorders>
            <w:shd w:val="clear" w:color="auto" w:fill="FFFFFF"/>
            <w:noWrap/>
            <w:vAlign w:val="bottom"/>
          </w:tcPr>
          <w:p w14:paraId="14370E7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w:t>
            </w:r>
          </w:p>
        </w:tc>
        <w:tc>
          <w:tcPr>
            <w:tcW w:w="292" w:type="pct"/>
            <w:gridSpan w:val="2"/>
            <w:tcBorders>
              <w:top w:val="nil"/>
              <w:left w:val="nil"/>
              <w:bottom w:val="nil"/>
              <w:right w:val="nil"/>
            </w:tcBorders>
            <w:shd w:val="clear" w:color="auto" w:fill="FFFFFF"/>
            <w:noWrap/>
            <w:vAlign w:val="bottom"/>
          </w:tcPr>
          <w:p w14:paraId="062D9A2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10</w:t>
            </w:r>
          </w:p>
        </w:tc>
        <w:tc>
          <w:tcPr>
            <w:tcW w:w="292" w:type="pct"/>
            <w:gridSpan w:val="2"/>
            <w:tcBorders>
              <w:top w:val="nil"/>
              <w:left w:val="nil"/>
              <w:bottom w:val="nil"/>
              <w:right w:val="nil"/>
            </w:tcBorders>
            <w:shd w:val="clear" w:color="auto" w:fill="FFFFFF"/>
            <w:noWrap/>
            <w:vAlign w:val="bottom"/>
          </w:tcPr>
          <w:p w14:paraId="0AC218B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34</w:t>
            </w:r>
          </w:p>
        </w:tc>
        <w:tc>
          <w:tcPr>
            <w:tcW w:w="292" w:type="pct"/>
            <w:gridSpan w:val="3"/>
            <w:tcBorders>
              <w:top w:val="nil"/>
              <w:left w:val="nil"/>
              <w:bottom w:val="nil"/>
              <w:right w:val="nil"/>
            </w:tcBorders>
            <w:shd w:val="clear" w:color="auto" w:fill="FFFFFF"/>
            <w:noWrap/>
            <w:vAlign w:val="bottom"/>
          </w:tcPr>
          <w:p w14:paraId="2207CB6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w:t>
            </w:r>
          </w:p>
        </w:tc>
        <w:tc>
          <w:tcPr>
            <w:tcW w:w="292" w:type="pct"/>
            <w:tcBorders>
              <w:top w:val="nil"/>
              <w:left w:val="nil"/>
              <w:bottom w:val="nil"/>
              <w:right w:val="nil"/>
            </w:tcBorders>
            <w:shd w:val="clear" w:color="auto" w:fill="FFFFFF"/>
            <w:noWrap/>
            <w:vAlign w:val="bottom"/>
          </w:tcPr>
          <w:p w14:paraId="2A2D534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23</w:t>
            </w:r>
          </w:p>
        </w:tc>
        <w:tc>
          <w:tcPr>
            <w:tcW w:w="292" w:type="pct"/>
            <w:tcBorders>
              <w:top w:val="nil"/>
              <w:left w:val="nil"/>
              <w:bottom w:val="nil"/>
              <w:right w:val="nil"/>
            </w:tcBorders>
            <w:shd w:val="clear" w:color="auto" w:fill="FFFFFF"/>
            <w:noWrap/>
            <w:vAlign w:val="bottom"/>
          </w:tcPr>
          <w:p w14:paraId="73C3FAB7">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10</w:t>
            </w:r>
          </w:p>
        </w:tc>
      </w:tr>
      <w:tr w14:paraId="4FC422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top"/>
          </w:tcPr>
          <w:p w14:paraId="530F1FC1">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Fonts w:hint="default" w:ascii="Times New Roman" w:hAnsi="Times New Roman" w:eastAsia="宋体" w:cs="Times New Roman"/>
                <w:b w:val="0"/>
                <w:bCs/>
                <w:i w:val="0"/>
                <w:iCs w:val="0"/>
                <w:color w:val="000000"/>
                <w:kern w:val="0"/>
                <w:sz w:val="22"/>
                <w:szCs w:val="22"/>
                <w:u w:val="none"/>
                <w:lang w:val="en-US" w:eastAsia="zh-CN" w:bidi="ar"/>
              </w:rPr>
              <w:t>25%</w:t>
            </w:r>
          </w:p>
        </w:tc>
        <w:tc>
          <w:tcPr>
            <w:tcW w:w="292" w:type="pct"/>
            <w:tcBorders>
              <w:top w:val="nil"/>
              <w:left w:val="nil"/>
              <w:bottom w:val="nil"/>
              <w:right w:val="nil"/>
            </w:tcBorders>
            <w:shd w:val="clear" w:color="auto" w:fill="FFFFFF"/>
            <w:noWrap/>
            <w:vAlign w:val="bottom"/>
          </w:tcPr>
          <w:p w14:paraId="206C88F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w:t>
            </w:r>
          </w:p>
        </w:tc>
        <w:tc>
          <w:tcPr>
            <w:tcW w:w="292" w:type="pct"/>
            <w:tcBorders>
              <w:top w:val="nil"/>
              <w:left w:val="nil"/>
              <w:bottom w:val="nil"/>
              <w:right w:val="nil"/>
            </w:tcBorders>
            <w:shd w:val="clear" w:color="auto" w:fill="FFFFFF"/>
            <w:noWrap/>
            <w:vAlign w:val="bottom"/>
          </w:tcPr>
          <w:p w14:paraId="54CDEFB5">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28</w:t>
            </w:r>
          </w:p>
        </w:tc>
        <w:tc>
          <w:tcPr>
            <w:tcW w:w="292" w:type="pct"/>
            <w:gridSpan w:val="3"/>
            <w:tcBorders>
              <w:top w:val="nil"/>
              <w:left w:val="nil"/>
              <w:bottom w:val="nil"/>
              <w:right w:val="nil"/>
            </w:tcBorders>
            <w:shd w:val="clear" w:color="auto" w:fill="FFFFFF"/>
            <w:noWrap/>
            <w:vAlign w:val="bottom"/>
          </w:tcPr>
          <w:p w14:paraId="4FE63A8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44</w:t>
            </w:r>
          </w:p>
        </w:tc>
        <w:tc>
          <w:tcPr>
            <w:tcW w:w="292" w:type="pct"/>
            <w:gridSpan w:val="2"/>
            <w:tcBorders>
              <w:top w:val="nil"/>
              <w:left w:val="nil"/>
              <w:bottom w:val="nil"/>
              <w:right w:val="nil"/>
            </w:tcBorders>
            <w:shd w:val="clear" w:color="auto" w:fill="FFFFFF"/>
            <w:noWrap/>
            <w:vAlign w:val="bottom"/>
          </w:tcPr>
          <w:p w14:paraId="5104815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62</w:t>
            </w:r>
          </w:p>
        </w:tc>
        <w:tc>
          <w:tcPr>
            <w:tcW w:w="292" w:type="pct"/>
            <w:gridSpan w:val="3"/>
            <w:tcBorders>
              <w:top w:val="nil"/>
              <w:left w:val="nil"/>
              <w:bottom w:val="nil"/>
              <w:right w:val="nil"/>
            </w:tcBorders>
            <w:shd w:val="clear" w:color="auto" w:fill="FFFFFF"/>
            <w:noWrap/>
            <w:vAlign w:val="bottom"/>
          </w:tcPr>
          <w:p w14:paraId="0F8C23B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101</w:t>
            </w:r>
          </w:p>
        </w:tc>
        <w:tc>
          <w:tcPr>
            <w:tcW w:w="292" w:type="pct"/>
            <w:gridSpan w:val="2"/>
            <w:tcBorders>
              <w:top w:val="nil"/>
              <w:left w:val="nil"/>
              <w:bottom w:val="nil"/>
              <w:right w:val="nil"/>
            </w:tcBorders>
            <w:shd w:val="clear" w:color="auto" w:fill="F1F1F1" w:themeFill="background1" w:themeFillShade="F2"/>
            <w:noWrap/>
            <w:vAlign w:val="bottom"/>
          </w:tcPr>
          <w:p w14:paraId="744488F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21</w:t>
            </w:r>
          </w:p>
        </w:tc>
        <w:tc>
          <w:tcPr>
            <w:tcW w:w="292" w:type="pct"/>
            <w:gridSpan w:val="2"/>
            <w:tcBorders>
              <w:top w:val="nil"/>
              <w:left w:val="nil"/>
              <w:bottom w:val="nil"/>
              <w:right w:val="nil"/>
            </w:tcBorders>
            <w:shd w:val="clear" w:color="auto" w:fill="F1F1F1" w:themeFill="background1" w:themeFillShade="F2"/>
            <w:noWrap/>
            <w:vAlign w:val="bottom"/>
          </w:tcPr>
          <w:p w14:paraId="39F85A1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37</w:t>
            </w:r>
          </w:p>
        </w:tc>
        <w:tc>
          <w:tcPr>
            <w:tcW w:w="292" w:type="pct"/>
            <w:gridSpan w:val="3"/>
            <w:tcBorders>
              <w:top w:val="nil"/>
              <w:left w:val="nil"/>
              <w:bottom w:val="nil"/>
              <w:right w:val="nil"/>
            </w:tcBorders>
            <w:shd w:val="clear" w:color="auto" w:fill="FFFFFF"/>
            <w:noWrap/>
            <w:vAlign w:val="bottom"/>
          </w:tcPr>
          <w:p w14:paraId="227916A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55</w:t>
            </w:r>
          </w:p>
        </w:tc>
        <w:tc>
          <w:tcPr>
            <w:tcW w:w="292" w:type="pct"/>
            <w:gridSpan w:val="2"/>
            <w:tcBorders>
              <w:top w:val="nil"/>
              <w:left w:val="nil"/>
              <w:bottom w:val="nil"/>
              <w:right w:val="nil"/>
            </w:tcBorders>
            <w:shd w:val="clear" w:color="auto" w:fill="FFFFFF"/>
            <w:noWrap/>
            <w:vAlign w:val="bottom"/>
          </w:tcPr>
          <w:p w14:paraId="3F68B8E7">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95</w:t>
            </w:r>
          </w:p>
        </w:tc>
        <w:tc>
          <w:tcPr>
            <w:tcW w:w="292" w:type="pct"/>
            <w:gridSpan w:val="3"/>
            <w:tcBorders>
              <w:top w:val="nil"/>
              <w:left w:val="nil"/>
              <w:bottom w:val="nil"/>
              <w:right w:val="nil"/>
            </w:tcBorders>
            <w:shd w:val="clear" w:color="auto" w:fill="FFFFFF"/>
            <w:noWrap/>
            <w:vAlign w:val="bottom"/>
          </w:tcPr>
          <w:p w14:paraId="1ACF9D0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13</w:t>
            </w:r>
          </w:p>
        </w:tc>
        <w:tc>
          <w:tcPr>
            <w:tcW w:w="292" w:type="pct"/>
            <w:gridSpan w:val="2"/>
            <w:tcBorders>
              <w:top w:val="nil"/>
              <w:left w:val="nil"/>
              <w:bottom w:val="nil"/>
              <w:right w:val="nil"/>
            </w:tcBorders>
            <w:shd w:val="clear" w:color="auto" w:fill="FFFFFF"/>
            <w:noWrap/>
            <w:vAlign w:val="bottom"/>
          </w:tcPr>
          <w:p w14:paraId="60F4709A">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30</w:t>
            </w:r>
          </w:p>
        </w:tc>
        <w:tc>
          <w:tcPr>
            <w:tcW w:w="292" w:type="pct"/>
            <w:gridSpan w:val="2"/>
            <w:tcBorders>
              <w:top w:val="nil"/>
              <w:left w:val="nil"/>
              <w:bottom w:val="nil"/>
              <w:right w:val="nil"/>
            </w:tcBorders>
            <w:shd w:val="clear" w:color="auto" w:fill="FFFFFF"/>
            <w:noWrap/>
            <w:vAlign w:val="bottom"/>
          </w:tcPr>
          <w:p w14:paraId="339DBB9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72</w:t>
            </w:r>
          </w:p>
        </w:tc>
        <w:tc>
          <w:tcPr>
            <w:tcW w:w="292" w:type="pct"/>
            <w:gridSpan w:val="3"/>
            <w:tcBorders>
              <w:top w:val="nil"/>
              <w:left w:val="nil"/>
              <w:bottom w:val="nil"/>
              <w:right w:val="nil"/>
            </w:tcBorders>
            <w:shd w:val="clear" w:color="auto" w:fill="FFFFFF"/>
            <w:noWrap/>
            <w:vAlign w:val="bottom"/>
          </w:tcPr>
          <w:p w14:paraId="1EE414BF">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15</w:t>
            </w:r>
          </w:p>
        </w:tc>
        <w:tc>
          <w:tcPr>
            <w:tcW w:w="292" w:type="pct"/>
            <w:tcBorders>
              <w:top w:val="nil"/>
              <w:left w:val="nil"/>
              <w:bottom w:val="nil"/>
              <w:right w:val="nil"/>
            </w:tcBorders>
            <w:shd w:val="clear" w:color="auto" w:fill="FFFFFF"/>
            <w:noWrap/>
            <w:vAlign w:val="bottom"/>
          </w:tcPr>
          <w:p w14:paraId="3842398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54</w:t>
            </w:r>
          </w:p>
        </w:tc>
        <w:tc>
          <w:tcPr>
            <w:tcW w:w="292" w:type="pct"/>
            <w:tcBorders>
              <w:top w:val="nil"/>
              <w:left w:val="nil"/>
              <w:bottom w:val="nil"/>
              <w:right w:val="nil"/>
            </w:tcBorders>
            <w:shd w:val="clear" w:color="auto" w:fill="FFFFFF"/>
            <w:noWrap/>
            <w:vAlign w:val="bottom"/>
          </w:tcPr>
          <w:p w14:paraId="3FE6D19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37</w:t>
            </w:r>
          </w:p>
        </w:tc>
      </w:tr>
      <w:tr w14:paraId="5517C1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top"/>
          </w:tcPr>
          <w:p w14:paraId="2DD95989">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Fonts w:hint="default" w:ascii="Times New Roman" w:hAnsi="Times New Roman" w:eastAsia="宋体" w:cs="Times New Roman"/>
                <w:b w:val="0"/>
                <w:bCs/>
                <w:i w:val="0"/>
                <w:iCs w:val="0"/>
                <w:color w:val="000000"/>
                <w:kern w:val="0"/>
                <w:sz w:val="22"/>
                <w:szCs w:val="22"/>
                <w:u w:val="none"/>
                <w:lang w:val="en-US" w:eastAsia="zh-CN" w:bidi="ar"/>
              </w:rPr>
              <w:t>50%</w:t>
            </w:r>
          </w:p>
        </w:tc>
        <w:tc>
          <w:tcPr>
            <w:tcW w:w="292" w:type="pct"/>
            <w:tcBorders>
              <w:top w:val="nil"/>
              <w:left w:val="nil"/>
              <w:bottom w:val="nil"/>
              <w:right w:val="nil"/>
            </w:tcBorders>
            <w:shd w:val="clear" w:color="auto" w:fill="FFFFFF"/>
            <w:noWrap/>
            <w:vAlign w:val="bottom"/>
          </w:tcPr>
          <w:p w14:paraId="7544504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9</w:t>
            </w:r>
          </w:p>
        </w:tc>
        <w:tc>
          <w:tcPr>
            <w:tcW w:w="292" w:type="pct"/>
            <w:tcBorders>
              <w:top w:val="nil"/>
              <w:left w:val="nil"/>
              <w:bottom w:val="nil"/>
              <w:right w:val="nil"/>
            </w:tcBorders>
            <w:shd w:val="clear" w:color="auto" w:fill="FFFFFF"/>
            <w:noWrap/>
            <w:vAlign w:val="bottom"/>
          </w:tcPr>
          <w:p w14:paraId="7EA13A2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38</w:t>
            </w:r>
          </w:p>
        </w:tc>
        <w:tc>
          <w:tcPr>
            <w:tcW w:w="292" w:type="pct"/>
            <w:gridSpan w:val="3"/>
            <w:tcBorders>
              <w:top w:val="nil"/>
              <w:left w:val="nil"/>
              <w:bottom w:val="nil"/>
              <w:right w:val="nil"/>
            </w:tcBorders>
            <w:shd w:val="clear" w:color="auto" w:fill="FFFFFF"/>
            <w:noWrap/>
            <w:vAlign w:val="bottom"/>
          </w:tcPr>
          <w:p w14:paraId="07F044E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55</w:t>
            </w:r>
          </w:p>
        </w:tc>
        <w:tc>
          <w:tcPr>
            <w:tcW w:w="292" w:type="pct"/>
            <w:gridSpan w:val="2"/>
            <w:tcBorders>
              <w:top w:val="nil"/>
              <w:left w:val="nil"/>
              <w:bottom w:val="nil"/>
              <w:right w:val="nil"/>
            </w:tcBorders>
            <w:shd w:val="clear" w:color="auto" w:fill="FFFFFF"/>
            <w:noWrap/>
            <w:vAlign w:val="bottom"/>
          </w:tcPr>
          <w:p w14:paraId="14D4A33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76</w:t>
            </w:r>
          </w:p>
        </w:tc>
        <w:tc>
          <w:tcPr>
            <w:tcW w:w="292" w:type="pct"/>
            <w:gridSpan w:val="3"/>
            <w:tcBorders>
              <w:top w:val="nil"/>
              <w:left w:val="nil"/>
              <w:bottom w:val="nil"/>
              <w:right w:val="nil"/>
            </w:tcBorders>
            <w:shd w:val="clear" w:color="auto" w:fill="FFFFFF"/>
            <w:noWrap/>
            <w:vAlign w:val="bottom"/>
          </w:tcPr>
          <w:p w14:paraId="736C029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125</w:t>
            </w:r>
          </w:p>
        </w:tc>
        <w:tc>
          <w:tcPr>
            <w:tcW w:w="292" w:type="pct"/>
            <w:gridSpan w:val="2"/>
            <w:tcBorders>
              <w:top w:val="nil"/>
              <w:left w:val="nil"/>
              <w:bottom w:val="nil"/>
              <w:right w:val="nil"/>
            </w:tcBorders>
            <w:shd w:val="clear" w:color="auto" w:fill="F1F1F1" w:themeFill="background1" w:themeFillShade="F2"/>
            <w:noWrap/>
            <w:vAlign w:val="bottom"/>
          </w:tcPr>
          <w:p w14:paraId="0AA1C9A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29</w:t>
            </w:r>
          </w:p>
        </w:tc>
        <w:tc>
          <w:tcPr>
            <w:tcW w:w="292" w:type="pct"/>
            <w:gridSpan w:val="2"/>
            <w:tcBorders>
              <w:top w:val="nil"/>
              <w:left w:val="nil"/>
              <w:bottom w:val="nil"/>
              <w:right w:val="nil"/>
            </w:tcBorders>
            <w:shd w:val="clear" w:color="auto" w:fill="F1F1F1" w:themeFill="background1" w:themeFillShade="F2"/>
            <w:noWrap/>
            <w:vAlign w:val="bottom"/>
          </w:tcPr>
          <w:p w14:paraId="707EB4C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45</w:t>
            </w:r>
          </w:p>
        </w:tc>
        <w:tc>
          <w:tcPr>
            <w:tcW w:w="292" w:type="pct"/>
            <w:gridSpan w:val="3"/>
            <w:tcBorders>
              <w:top w:val="nil"/>
              <w:left w:val="nil"/>
              <w:bottom w:val="nil"/>
              <w:right w:val="nil"/>
            </w:tcBorders>
            <w:shd w:val="clear" w:color="auto" w:fill="FFFFFF"/>
            <w:noWrap/>
            <w:vAlign w:val="bottom"/>
          </w:tcPr>
          <w:p w14:paraId="4AAD2866">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65</w:t>
            </w:r>
          </w:p>
        </w:tc>
        <w:tc>
          <w:tcPr>
            <w:tcW w:w="292" w:type="pct"/>
            <w:gridSpan w:val="2"/>
            <w:tcBorders>
              <w:top w:val="nil"/>
              <w:left w:val="nil"/>
              <w:bottom w:val="nil"/>
              <w:right w:val="nil"/>
            </w:tcBorders>
            <w:shd w:val="clear" w:color="auto" w:fill="FFFFFF"/>
            <w:noWrap/>
            <w:vAlign w:val="bottom"/>
          </w:tcPr>
          <w:p w14:paraId="4299E9E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115</w:t>
            </w:r>
          </w:p>
        </w:tc>
        <w:tc>
          <w:tcPr>
            <w:tcW w:w="292" w:type="pct"/>
            <w:gridSpan w:val="3"/>
            <w:tcBorders>
              <w:top w:val="nil"/>
              <w:left w:val="nil"/>
              <w:bottom w:val="nil"/>
              <w:right w:val="nil"/>
            </w:tcBorders>
            <w:shd w:val="clear" w:color="auto" w:fill="FFFFFF"/>
            <w:noWrap/>
            <w:vAlign w:val="bottom"/>
          </w:tcPr>
          <w:p w14:paraId="44587D5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16</w:t>
            </w:r>
          </w:p>
        </w:tc>
        <w:tc>
          <w:tcPr>
            <w:tcW w:w="292" w:type="pct"/>
            <w:gridSpan w:val="2"/>
            <w:tcBorders>
              <w:top w:val="nil"/>
              <w:left w:val="nil"/>
              <w:bottom w:val="nil"/>
              <w:right w:val="nil"/>
            </w:tcBorders>
            <w:shd w:val="clear" w:color="auto" w:fill="FFFFFF"/>
            <w:noWrap/>
            <w:vAlign w:val="bottom"/>
          </w:tcPr>
          <w:p w14:paraId="0CCBF37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36</w:t>
            </w:r>
          </w:p>
        </w:tc>
        <w:tc>
          <w:tcPr>
            <w:tcW w:w="292" w:type="pct"/>
            <w:gridSpan w:val="2"/>
            <w:tcBorders>
              <w:top w:val="nil"/>
              <w:left w:val="nil"/>
              <w:bottom w:val="nil"/>
              <w:right w:val="nil"/>
            </w:tcBorders>
            <w:shd w:val="clear" w:color="auto" w:fill="FFFFFF"/>
            <w:noWrap/>
            <w:vAlign w:val="bottom"/>
          </w:tcPr>
          <w:p w14:paraId="0868AE0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86</w:t>
            </w:r>
          </w:p>
        </w:tc>
        <w:tc>
          <w:tcPr>
            <w:tcW w:w="292" w:type="pct"/>
            <w:gridSpan w:val="3"/>
            <w:tcBorders>
              <w:top w:val="nil"/>
              <w:left w:val="nil"/>
              <w:bottom w:val="nil"/>
              <w:right w:val="nil"/>
            </w:tcBorders>
            <w:shd w:val="clear" w:color="auto" w:fill="FFFFFF"/>
            <w:noWrap/>
            <w:vAlign w:val="bottom"/>
          </w:tcPr>
          <w:p w14:paraId="53FC6EE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19</w:t>
            </w:r>
          </w:p>
        </w:tc>
        <w:tc>
          <w:tcPr>
            <w:tcW w:w="292" w:type="pct"/>
            <w:tcBorders>
              <w:top w:val="nil"/>
              <w:left w:val="nil"/>
              <w:bottom w:val="nil"/>
              <w:right w:val="nil"/>
            </w:tcBorders>
            <w:shd w:val="clear" w:color="auto" w:fill="FFFFFF"/>
            <w:noWrap/>
            <w:vAlign w:val="bottom"/>
          </w:tcPr>
          <w:p w14:paraId="1CF5A37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70</w:t>
            </w:r>
          </w:p>
        </w:tc>
        <w:tc>
          <w:tcPr>
            <w:tcW w:w="292" w:type="pct"/>
            <w:tcBorders>
              <w:top w:val="nil"/>
              <w:left w:val="nil"/>
              <w:bottom w:val="nil"/>
              <w:right w:val="nil"/>
            </w:tcBorders>
            <w:shd w:val="clear" w:color="auto" w:fill="FFFFFF"/>
            <w:noWrap/>
            <w:vAlign w:val="bottom"/>
          </w:tcPr>
          <w:p w14:paraId="0DCE7E4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50</w:t>
            </w:r>
          </w:p>
        </w:tc>
      </w:tr>
      <w:tr w14:paraId="508E39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top"/>
          </w:tcPr>
          <w:p w14:paraId="2AAD5BC6">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Fonts w:hint="default" w:ascii="Times New Roman" w:hAnsi="Times New Roman" w:eastAsia="宋体" w:cs="Times New Roman"/>
                <w:b w:val="0"/>
                <w:bCs/>
                <w:i w:val="0"/>
                <w:iCs w:val="0"/>
                <w:color w:val="000000"/>
                <w:kern w:val="0"/>
                <w:sz w:val="22"/>
                <w:szCs w:val="22"/>
                <w:u w:val="none"/>
                <w:lang w:val="en-US" w:eastAsia="zh-CN" w:bidi="ar"/>
              </w:rPr>
              <w:t>75%</w:t>
            </w:r>
          </w:p>
        </w:tc>
        <w:tc>
          <w:tcPr>
            <w:tcW w:w="292" w:type="pct"/>
            <w:tcBorders>
              <w:top w:val="nil"/>
              <w:left w:val="nil"/>
              <w:bottom w:val="nil"/>
              <w:right w:val="nil"/>
            </w:tcBorders>
            <w:shd w:val="clear" w:color="auto" w:fill="FFFFFF"/>
            <w:noWrap/>
            <w:vAlign w:val="bottom"/>
          </w:tcPr>
          <w:p w14:paraId="418878B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18</w:t>
            </w:r>
          </w:p>
        </w:tc>
        <w:tc>
          <w:tcPr>
            <w:tcW w:w="292" w:type="pct"/>
            <w:tcBorders>
              <w:top w:val="nil"/>
              <w:left w:val="nil"/>
              <w:bottom w:val="nil"/>
              <w:right w:val="nil"/>
            </w:tcBorders>
            <w:shd w:val="clear" w:color="auto" w:fill="FFFFFF"/>
            <w:noWrap/>
            <w:vAlign w:val="bottom"/>
          </w:tcPr>
          <w:p w14:paraId="347E314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53</w:t>
            </w:r>
          </w:p>
        </w:tc>
        <w:tc>
          <w:tcPr>
            <w:tcW w:w="292" w:type="pct"/>
            <w:gridSpan w:val="3"/>
            <w:tcBorders>
              <w:top w:val="nil"/>
              <w:left w:val="nil"/>
              <w:bottom w:val="nil"/>
              <w:right w:val="nil"/>
            </w:tcBorders>
            <w:shd w:val="clear" w:color="auto" w:fill="FFFFFF"/>
            <w:noWrap/>
            <w:vAlign w:val="bottom"/>
          </w:tcPr>
          <w:p w14:paraId="0E2C5EB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72</w:t>
            </w:r>
          </w:p>
        </w:tc>
        <w:tc>
          <w:tcPr>
            <w:tcW w:w="292" w:type="pct"/>
            <w:gridSpan w:val="2"/>
            <w:tcBorders>
              <w:top w:val="nil"/>
              <w:left w:val="nil"/>
              <w:bottom w:val="nil"/>
              <w:right w:val="nil"/>
            </w:tcBorders>
            <w:shd w:val="clear" w:color="auto" w:fill="FFFFFF"/>
            <w:noWrap/>
            <w:vAlign w:val="bottom"/>
          </w:tcPr>
          <w:p w14:paraId="7094F67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92</w:t>
            </w:r>
          </w:p>
        </w:tc>
        <w:tc>
          <w:tcPr>
            <w:tcW w:w="292" w:type="pct"/>
            <w:gridSpan w:val="3"/>
            <w:tcBorders>
              <w:top w:val="nil"/>
              <w:left w:val="nil"/>
              <w:bottom w:val="nil"/>
              <w:right w:val="nil"/>
            </w:tcBorders>
            <w:shd w:val="clear" w:color="auto" w:fill="FFFFFF"/>
            <w:noWrap/>
            <w:vAlign w:val="bottom"/>
          </w:tcPr>
          <w:p w14:paraId="0EA3F8D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148</w:t>
            </w:r>
          </w:p>
        </w:tc>
        <w:tc>
          <w:tcPr>
            <w:tcW w:w="292" w:type="pct"/>
            <w:gridSpan w:val="2"/>
            <w:tcBorders>
              <w:top w:val="nil"/>
              <w:left w:val="nil"/>
              <w:bottom w:val="nil"/>
              <w:right w:val="nil"/>
            </w:tcBorders>
            <w:shd w:val="clear" w:color="auto" w:fill="F1F1F1" w:themeFill="background1" w:themeFillShade="F2"/>
            <w:noWrap/>
            <w:vAlign w:val="bottom"/>
          </w:tcPr>
          <w:p w14:paraId="285BDB6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36</w:t>
            </w:r>
          </w:p>
        </w:tc>
        <w:tc>
          <w:tcPr>
            <w:tcW w:w="292" w:type="pct"/>
            <w:gridSpan w:val="2"/>
            <w:tcBorders>
              <w:top w:val="nil"/>
              <w:left w:val="nil"/>
              <w:bottom w:val="nil"/>
              <w:right w:val="nil"/>
            </w:tcBorders>
            <w:shd w:val="clear" w:color="auto" w:fill="F1F1F1" w:themeFill="background1" w:themeFillShade="F2"/>
            <w:noWrap/>
            <w:vAlign w:val="bottom"/>
          </w:tcPr>
          <w:p w14:paraId="6153B30F">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55</w:t>
            </w:r>
          </w:p>
        </w:tc>
        <w:tc>
          <w:tcPr>
            <w:tcW w:w="292" w:type="pct"/>
            <w:gridSpan w:val="3"/>
            <w:tcBorders>
              <w:top w:val="nil"/>
              <w:left w:val="nil"/>
              <w:bottom w:val="nil"/>
              <w:right w:val="nil"/>
            </w:tcBorders>
            <w:shd w:val="clear" w:color="auto" w:fill="FFFFFF"/>
            <w:noWrap/>
            <w:vAlign w:val="bottom"/>
          </w:tcPr>
          <w:p w14:paraId="643A371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76</w:t>
            </w:r>
          </w:p>
        </w:tc>
        <w:tc>
          <w:tcPr>
            <w:tcW w:w="292" w:type="pct"/>
            <w:gridSpan w:val="2"/>
            <w:tcBorders>
              <w:top w:val="nil"/>
              <w:left w:val="nil"/>
              <w:bottom w:val="nil"/>
              <w:right w:val="nil"/>
            </w:tcBorders>
            <w:shd w:val="clear" w:color="auto" w:fill="FFFFFF"/>
            <w:noWrap/>
            <w:vAlign w:val="bottom"/>
          </w:tcPr>
          <w:p w14:paraId="258971E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128</w:t>
            </w:r>
          </w:p>
        </w:tc>
        <w:tc>
          <w:tcPr>
            <w:tcW w:w="292" w:type="pct"/>
            <w:gridSpan w:val="3"/>
            <w:tcBorders>
              <w:top w:val="nil"/>
              <w:left w:val="nil"/>
              <w:bottom w:val="nil"/>
              <w:right w:val="nil"/>
            </w:tcBorders>
            <w:shd w:val="clear" w:color="auto" w:fill="FFFFFF"/>
            <w:noWrap/>
            <w:vAlign w:val="bottom"/>
          </w:tcPr>
          <w:p w14:paraId="4ECB0CAF">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20</w:t>
            </w:r>
          </w:p>
        </w:tc>
        <w:tc>
          <w:tcPr>
            <w:tcW w:w="292" w:type="pct"/>
            <w:gridSpan w:val="2"/>
            <w:tcBorders>
              <w:top w:val="nil"/>
              <w:left w:val="nil"/>
              <w:bottom w:val="nil"/>
              <w:right w:val="nil"/>
            </w:tcBorders>
            <w:shd w:val="clear" w:color="auto" w:fill="FFFFFF"/>
            <w:noWrap/>
            <w:vAlign w:val="bottom"/>
          </w:tcPr>
          <w:p w14:paraId="493923E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42</w:t>
            </w:r>
          </w:p>
        </w:tc>
        <w:tc>
          <w:tcPr>
            <w:tcW w:w="292" w:type="pct"/>
            <w:gridSpan w:val="2"/>
            <w:tcBorders>
              <w:top w:val="nil"/>
              <w:left w:val="nil"/>
              <w:bottom w:val="nil"/>
              <w:right w:val="nil"/>
            </w:tcBorders>
            <w:shd w:val="clear" w:color="auto" w:fill="FFFFFF"/>
            <w:noWrap/>
            <w:vAlign w:val="bottom"/>
          </w:tcPr>
          <w:p w14:paraId="09AA084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94</w:t>
            </w:r>
          </w:p>
        </w:tc>
        <w:tc>
          <w:tcPr>
            <w:tcW w:w="292" w:type="pct"/>
            <w:gridSpan w:val="3"/>
            <w:tcBorders>
              <w:top w:val="nil"/>
              <w:left w:val="nil"/>
              <w:bottom w:val="nil"/>
              <w:right w:val="nil"/>
            </w:tcBorders>
            <w:shd w:val="clear" w:color="auto" w:fill="FFFFFF"/>
            <w:noWrap/>
            <w:vAlign w:val="bottom"/>
          </w:tcPr>
          <w:p w14:paraId="5486E4C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23</w:t>
            </w:r>
          </w:p>
        </w:tc>
        <w:tc>
          <w:tcPr>
            <w:tcW w:w="292" w:type="pct"/>
            <w:tcBorders>
              <w:top w:val="nil"/>
              <w:left w:val="nil"/>
              <w:bottom w:val="nil"/>
              <w:right w:val="nil"/>
            </w:tcBorders>
            <w:shd w:val="clear" w:color="auto" w:fill="FFFFFF"/>
            <w:noWrap/>
            <w:vAlign w:val="bottom"/>
          </w:tcPr>
          <w:p w14:paraId="6A2FE7A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78</w:t>
            </w:r>
          </w:p>
        </w:tc>
        <w:tc>
          <w:tcPr>
            <w:tcW w:w="292" w:type="pct"/>
            <w:tcBorders>
              <w:top w:val="nil"/>
              <w:left w:val="nil"/>
              <w:bottom w:val="nil"/>
              <w:right w:val="nil"/>
            </w:tcBorders>
            <w:shd w:val="clear" w:color="auto" w:fill="FFFFFF"/>
            <w:noWrap/>
            <w:vAlign w:val="bottom"/>
          </w:tcPr>
          <w:p w14:paraId="31AFA1BA">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59</w:t>
            </w:r>
          </w:p>
        </w:tc>
      </w:tr>
      <w:tr w14:paraId="234F03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top"/>
          </w:tcPr>
          <w:p w14:paraId="5A5A77E9">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Fonts w:hint="default" w:ascii="Times New Roman" w:hAnsi="Times New Roman" w:eastAsia="宋体" w:cs="Times New Roman"/>
                <w:b w:val="0"/>
                <w:bCs/>
                <w:i w:val="0"/>
                <w:iCs w:val="0"/>
                <w:color w:val="000000"/>
                <w:kern w:val="0"/>
                <w:sz w:val="22"/>
                <w:szCs w:val="22"/>
                <w:u w:val="none"/>
                <w:lang w:val="en-US" w:eastAsia="zh-CN" w:bidi="ar"/>
              </w:rPr>
              <w:t>max</w:t>
            </w:r>
          </w:p>
        </w:tc>
        <w:tc>
          <w:tcPr>
            <w:tcW w:w="292" w:type="pct"/>
            <w:tcBorders>
              <w:top w:val="nil"/>
              <w:left w:val="nil"/>
              <w:bottom w:val="nil"/>
              <w:right w:val="nil"/>
            </w:tcBorders>
            <w:shd w:val="clear" w:color="auto" w:fill="FFFFFF"/>
            <w:noWrap/>
            <w:vAlign w:val="bottom"/>
          </w:tcPr>
          <w:p w14:paraId="79C2E30F">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55</w:t>
            </w:r>
          </w:p>
        </w:tc>
        <w:tc>
          <w:tcPr>
            <w:tcW w:w="292" w:type="pct"/>
            <w:tcBorders>
              <w:top w:val="nil"/>
              <w:left w:val="nil"/>
              <w:bottom w:val="nil"/>
              <w:right w:val="nil"/>
            </w:tcBorders>
            <w:shd w:val="clear" w:color="auto" w:fill="FFFFFF"/>
            <w:noWrap/>
            <w:vAlign w:val="bottom"/>
          </w:tcPr>
          <w:p w14:paraId="35C25651">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90</w:t>
            </w:r>
          </w:p>
        </w:tc>
        <w:tc>
          <w:tcPr>
            <w:tcW w:w="292" w:type="pct"/>
            <w:gridSpan w:val="3"/>
            <w:tcBorders>
              <w:top w:val="nil"/>
              <w:left w:val="nil"/>
              <w:bottom w:val="nil"/>
              <w:right w:val="nil"/>
            </w:tcBorders>
            <w:shd w:val="clear" w:color="auto" w:fill="FFFFFF"/>
            <w:noWrap/>
            <w:vAlign w:val="bottom"/>
          </w:tcPr>
          <w:p w14:paraId="0FBB4E4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108</w:t>
            </w:r>
          </w:p>
        </w:tc>
        <w:tc>
          <w:tcPr>
            <w:tcW w:w="292" w:type="pct"/>
            <w:gridSpan w:val="2"/>
            <w:tcBorders>
              <w:top w:val="nil"/>
              <w:left w:val="nil"/>
              <w:bottom w:val="nil"/>
              <w:right w:val="nil"/>
            </w:tcBorders>
            <w:shd w:val="clear" w:color="auto" w:fill="FFFFFF"/>
            <w:noWrap/>
            <w:vAlign w:val="bottom"/>
          </w:tcPr>
          <w:p w14:paraId="0602B4A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162</w:t>
            </w:r>
          </w:p>
        </w:tc>
        <w:tc>
          <w:tcPr>
            <w:tcW w:w="292" w:type="pct"/>
            <w:gridSpan w:val="3"/>
            <w:tcBorders>
              <w:top w:val="nil"/>
              <w:left w:val="nil"/>
              <w:bottom w:val="nil"/>
              <w:right w:val="nil"/>
            </w:tcBorders>
            <w:shd w:val="clear" w:color="auto" w:fill="FFFFFF"/>
            <w:noWrap/>
            <w:vAlign w:val="bottom"/>
          </w:tcPr>
          <w:p w14:paraId="535A232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241</w:t>
            </w:r>
          </w:p>
        </w:tc>
        <w:tc>
          <w:tcPr>
            <w:tcW w:w="292" w:type="pct"/>
            <w:gridSpan w:val="2"/>
            <w:tcBorders>
              <w:top w:val="nil"/>
              <w:left w:val="nil"/>
              <w:bottom w:val="nil"/>
              <w:right w:val="nil"/>
            </w:tcBorders>
            <w:shd w:val="clear" w:color="auto" w:fill="F1F1F1" w:themeFill="background1" w:themeFillShade="F2"/>
            <w:noWrap/>
            <w:vAlign w:val="bottom"/>
          </w:tcPr>
          <w:p w14:paraId="1DB08A6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56</w:t>
            </w:r>
          </w:p>
        </w:tc>
        <w:tc>
          <w:tcPr>
            <w:tcW w:w="292" w:type="pct"/>
            <w:gridSpan w:val="2"/>
            <w:tcBorders>
              <w:top w:val="nil"/>
              <w:left w:val="nil"/>
              <w:bottom w:val="nil"/>
              <w:right w:val="nil"/>
            </w:tcBorders>
            <w:shd w:val="clear" w:color="auto" w:fill="F1F1F1" w:themeFill="background1" w:themeFillShade="F2"/>
            <w:noWrap/>
            <w:vAlign w:val="bottom"/>
          </w:tcPr>
          <w:p w14:paraId="2056E59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84</w:t>
            </w:r>
          </w:p>
        </w:tc>
        <w:tc>
          <w:tcPr>
            <w:tcW w:w="292" w:type="pct"/>
            <w:gridSpan w:val="3"/>
            <w:tcBorders>
              <w:top w:val="nil"/>
              <w:left w:val="nil"/>
              <w:bottom w:val="nil"/>
              <w:right w:val="nil"/>
            </w:tcBorders>
            <w:shd w:val="clear" w:color="auto" w:fill="FFFFFF"/>
            <w:noWrap/>
            <w:vAlign w:val="bottom"/>
          </w:tcPr>
          <w:p w14:paraId="287EFF1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148</w:t>
            </w:r>
          </w:p>
        </w:tc>
        <w:tc>
          <w:tcPr>
            <w:tcW w:w="292" w:type="pct"/>
            <w:gridSpan w:val="2"/>
            <w:tcBorders>
              <w:top w:val="nil"/>
              <w:left w:val="nil"/>
              <w:bottom w:val="nil"/>
              <w:right w:val="nil"/>
            </w:tcBorders>
            <w:shd w:val="clear" w:color="auto" w:fill="FFFFFF"/>
            <w:noWrap/>
            <w:vAlign w:val="bottom"/>
          </w:tcPr>
          <w:p w14:paraId="16C04CE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228</w:t>
            </w:r>
          </w:p>
        </w:tc>
        <w:tc>
          <w:tcPr>
            <w:tcW w:w="292" w:type="pct"/>
            <w:gridSpan w:val="3"/>
            <w:tcBorders>
              <w:top w:val="nil"/>
              <w:left w:val="nil"/>
              <w:bottom w:val="nil"/>
              <w:right w:val="nil"/>
            </w:tcBorders>
            <w:shd w:val="clear" w:color="auto" w:fill="FFFFFF"/>
            <w:noWrap/>
            <w:vAlign w:val="bottom"/>
          </w:tcPr>
          <w:p w14:paraId="4F16D09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49</w:t>
            </w:r>
          </w:p>
        </w:tc>
        <w:tc>
          <w:tcPr>
            <w:tcW w:w="292" w:type="pct"/>
            <w:gridSpan w:val="2"/>
            <w:tcBorders>
              <w:top w:val="nil"/>
              <w:left w:val="nil"/>
              <w:bottom w:val="nil"/>
              <w:right w:val="nil"/>
            </w:tcBorders>
            <w:shd w:val="clear" w:color="auto" w:fill="FFFFFF"/>
            <w:noWrap/>
            <w:vAlign w:val="bottom"/>
          </w:tcPr>
          <w:p w14:paraId="6A80452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112</w:t>
            </w:r>
          </w:p>
        </w:tc>
        <w:tc>
          <w:tcPr>
            <w:tcW w:w="292" w:type="pct"/>
            <w:gridSpan w:val="2"/>
            <w:tcBorders>
              <w:top w:val="nil"/>
              <w:left w:val="nil"/>
              <w:bottom w:val="nil"/>
              <w:right w:val="nil"/>
            </w:tcBorders>
            <w:shd w:val="clear" w:color="auto" w:fill="FFFFFF"/>
            <w:noWrap/>
            <w:vAlign w:val="bottom"/>
          </w:tcPr>
          <w:p w14:paraId="3796739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192</w:t>
            </w:r>
          </w:p>
        </w:tc>
        <w:tc>
          <w:tcPr>
            <w:tcW w:w="292" w:type="pct"/>
            <w:gridSpan w:val="3"/>
            <w:tcBorders>
              <w:top w:val="nil"/>
              <w:left w:val="nil"/>
              <w:bottom w:val="nil"/>
              <w:right w:val="nil"/>
            </w:tcBorders>
            <w:shd w:val="clear" w:color="auto" w:fill="FFFFFF"/>
            <w:noWrap/>
            <w:vAlign w:val="bottom"/>
          </w:tcPr>
          <w:p w14:paraId="5C4624D5">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74</w:t>
            </w:r>
          </w:p>
        </w:tc>
        <w:tc>
          <w:tcPr>
            <w:tcW w:w="292" w:type="pct"/>
            <w:tcBorders>
              <w:top w:val="nil"/>
              <w:left w:val="nil"/>
              <w:bottom w:val="nil"/>
              <w:right w:val="nil"/>
            </w:tcBorders>
            <w:shd w:val="clear" w:color="auto" w:fill="FFFFFF"/>
            <w:noWrap/>
            <w:vAlign w:val="bottom"/>
          </w:tcPr>
          <w:p w14:paraId="0DBCFD5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155</w:t>
            </w:r>
          </w:p>
        </w:tc>
        <w:tc>
          <w:tcPr>
            <w:tcW w:w="292" w:type="pct"/>
            <w:tcBorders>
              <w:top w:val="nil"/>
              <w:left w:val="nil"/>
              <w:bottom w:val="nil"/>
              <w:right w:val="nil"/>
            </w:tcBorders>
            <w:shd w:val="clear" w:color="auto" w:fill="FFFFFF"/>
            <w:noWrap/>
            <w:vAlign w:val="bottom"/>
          </w:tcPr>
          <w:p w14:paraId="5A6142FE">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85</w:t>
            </w:r>
          </w:p>
        </w:tc>
      </w:tr>
      <w:tr w14:paraId="7E5869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top"/>
          </w:tcPr>
          <w:p w14:paraId="0949C847">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Style w:val="6"/>
                <w:rFonts w:hAnsi="Times New Roman"/>
                <w:b w:val="0"/>
                <w:lang w:val="en-US" w:eastAsia="zh-CN" w:bidi="ar"/>
              </w:rPr>
              <w:t>偏态系数</w:t>
            </w:r>
          </w:p>
        </w:tc>
        <w:tc>
          <w:tcPr>
            <w:tcW w:w="292" w:type="pct"/>
            <w:tcBorders>
              <w:top w:val="nil"/>
              <w:left w:val="nil"/>
              <w:bottom w:val="nil"/>
              <w:right w:val="nil"/>
            </w:tcBorders>
            <w:shd w:val="clear" w:color="auto" w:fill="FFFFFF"/>
            <w:noWrap/>
            <w:vAlign w:val="bottom"/>
          </w:tcPr>
          <w:p w14:paraId="5E6CFEE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0.51</w:t>
            </w:r>
          </w:p>
        </w:tc>
        <w:tc>
          <w:tcPr>
            <w:tcW w:w="292" w:type="pct"/>
            <w:tcBorders>
              <w:top w:val="nil"/>
              <w:left w:val="nil"/>
              <w:bottom w:val="nil"/>
              <w:right w:val="nil"/>
            </w:tcBorders>
            <w:shd w:val="clear" w:color="auto" w:fill="FFFFFF"/>
            <w:noWrap/>
            <w:vAlign w:val="bottom"/>
          </w:tcPr>
          <w:p w14:paraId="42403210">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-0.16</w:t>
            </w:r>
          </w:p>
        </w:tc>
        <w:tc>
          <w:tcPr>
            <w:tcW w:w="292" w:type="pct"/>
            <w:gridSpan w:val="3"/>
            <w:tcBorders>
              <w:top w:val="nil"/>
              <w:left w:val="nil"/>
              <w:bottom w:val="nil"/>
              <w:right w:val="nil"/>
            </w:tcBorders>
            <w:shd w:val="clear" w:color="auto" w:fill="FFFFFF"/>
            <w:noWrap/>
            <w:vAlign w:val="bottom"/>
          </w:tcPr>
          <w:p w14:paraId="1762349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-0.15</w:t>
            </w:r>
          </w:p>
        </w:tc>
        <w:tc>
          <w:tcPr>
            <w:tcW w:w="292" w:type="pct"/>
            <w:gridSpan w:val="2"/>
            <w:tcBorders>
              <w:top w:val="nil"/>
              <w:left w:val="nil"/>
              <w:bottom w:val="nil"/>
              <w:right w:val="nil"/>
            </w:tcBorders>
            <w:shd w:val="clear" w:color="auto" w:fill="FFFFFF"/>
            <w:noWrap/>
            <w:vAlign w:val="bottom"/>
          </w:tcPr>
          <w:p w14:paraId="7935BC36">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0.22</w:t>
            </w:r>
          </w:p>
        </w:tc>
        <w:tc>
          <w:tcPr>
            <w:tcW w:w="292" w:type="pct"/>
            <w:gridSpan w:val="3"/>
            <w:tcBorders>
              <w:top w:val="nil"/>
              <w:left w:val="nil"/>
              <w:bottom w:val="nil"/>
              <w:right w:val="nil"/>
            </w:tcBorders>
            <w:shd w:val="clear" w:color="auto" w:fill="FFFFFF"/>
            <w:noWrap/>
            <w:vAlign w:val="bottom"/>
          </w:tcPr>
          <w:p w14:paraId="758C49DA">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0.13</w:t>
            </w:r>
          </w:p>
        </w:tc>
        <w:tc>
          <w:tcPr>
            <w:tcW w:w="292" w:type="pct"/>
            <w:gridSpan w:val="2"/>
            <w:tcBorders>
              <w:top w:val="nil"/>
              <w:left w:val="nil"/>
              <w:bottom w:val="nil"/>
              <w:right w:val="nil"/>
            </w:tcBorders>
            <w:shd w:val="clear" w:color="auto" w:fill="F1F1F1" w:themeFill="background1" w:themeFillShade="F2"/>
            <w:noWrap/>
            <w:vAlign w:val="bottom"/>
          </w:tcPr>
          <w:p w14:paraId="0191FC2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-0.07</w:t>
            </w:r>
          </w:p>
        </w:tc>
        <w:tc>
          <w:tcPr>
            <w:tcW w:w="292" w:type="pct"/>
            <w:gridSpan w:val="2"/>
            <w:tcBorders>
              <w:top w:val="nil"/>
              <w:left w:val="nil"/>
              <w:bottom w:val="nil"/>
              <w:right w:val="nil"/>
            </w:tcBorders>
            <w:shd w:val="clear" w:color="auto" w:fill="F1F1F1" w:themeFill="background1" w:themeFillShade="F2"/>
            <w:noWrap/>
            <w:vAlign w:val="bottom"/>
          </w:tcPr>
          <w:p w14:paraId="53F8779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0.07</w:t>
            </w:r>
          </w:p>
        </w:tc>
        <w:tc>
          <w:tcPr>
            <w:tcW w:w="292" w:type="pct"/>
            <w:gridSpan w:val="3"/>
            <w:tcBorders>
              <w:top w:val="nil"/>
              <w:left w:val="nil"/>
              <w:bottom w:val="nil"/>
              <w:right w:val="nil"/>
            </w:tcBorders>
            <w:shd w:val="clear" w:color="auto" w:fill="FFFFFF"/>
            <w:noWrap/>
            <w:vAlign w:val="bottom"/>
          </w:tcPr>
          <w:p w14:paraId="3D6FC52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0.95</w:t>
            </w:r>
          </w:p>
        </w:tc>
        <w:tc>
          <w:tcPr>
            <w:tcW w:w="292" w:type="pct"/>
            <w:gridSpan w:val="2"/>
            <w:tcBorders>
              <w:top w:val="nil"/>
              <w:left w:val="nil"/>
              <w:bottom w:val="nil"/>
              <w:right w:val="nil"/>
            </w:tcBorders>
            <w:shd w:val="clear" w:color="auto" w:fill="FFFFFF"/>
            <w:noWrap/>
            <w:vAlign w:val="bottom"/>
          </w:tcPr>
          <w:p w14:paraId="1C24F44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0.65</w:t>
            </w:r>
          </w:p>
        </w:tc>
        <w:tc>
          <w:tcPr>
            <w:tcW w:w="292" w:type="pct"/>
            <w:gridSpan w:val="3"/>
            <w:tcBorders>
              <w:top w:val="nil"/>
              <w:left w:val="nil"/>
              <w:bottom w:val="nil"/>
              <w:right w:val="nil"/>
            </w:tcBorders>
            <w:shd w:val="clear" w:color="auto" w:fill="FFFFFF"/>
            <w:noWrap/>
            <w:vAlign w:val="bottom"/>
          </w:tcPr>
          <w:p w14:paraId="1BB1F5B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1.26</w:t>
            </w:r>
          </w:p>
        </w:tc>
        <w:tc>
          <w:tcPr>
            <w:tcW w:w="292" w:type="pct"/>
            <w:gridSpan w:val="2"/>
            <w:tcBorders>
              <w:top w:val="nil"/>
              <w:left w:val="nil"/>
              <w:bottom w:val="nil"/>
              <w:right w:val="nil"/>
            </w:tcBorders>
            <w:shd w:val="clear" w:color="auto" w:fill="FFFFFF"/>
            <w:noWrap/>
            <w:vAlign w:val="bottom"/>
          </w:tcPr>
          <w:p w14:paraId="26B3F40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2.54</w:t>
            </w:r>
          </w:p>
        </w:tc>
        <w:tc>
          <w:tcPr>
            <w:tcW w:w="292" w:type="pct"/>
            <w:gridSpan w:val="2"/>
            <w:tcBorders>
              <w:top w:val="nil"/>
              <w:left w:val="nil"/>
              <w:bottom w:val="nil"/>
              <w:right w:val="nil"/>
            </w:tcBorders>
            <w:shd w:val="clear" w:color="auto" w:fill="FFFFFF"/>
            <w:noWrap/>
            <w:vAlign w:val="bottom"/>
          </w:tcPr>
          <w:p w14:paraId="03007B5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1.38</w:t>
            </w:r>
          </w:p>
        </w:tc>
        <w:tc>
          <w:tcPr>
            <w:tcW w:w="292" w:type="pct"/>
            <w:gridSpan w:val="3"/>
            <w:tcBorders>
              <w:top w:val="nil"/>
              <w:left w:val="nil"/>
              <w:bottom w:val="nil"/>
              <w:right w:val="nil"/>
            </w:tcBorders>
            <w:shd w:val="clear" w:color="auto" w:fill="FFFFFF"/>
            <w:noWrap/>
            <w:vAlign w:val="bottom"/>
          </w:tcPr>
          <w:p w14:paraId="6449243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2.32</w:t>
            </w:r>
          </w:p>
        </w:tc>
        <w:tc>
          <w:tcPr>
            <w:tcW w:w="292" w:type="pct"/>
            <w:tcBorders>
              <w:top w:val="nil"/>
              <w:left w:val="nil"/>
              <w:bottom w:val="nil"/>
              <w:right w:val="nil"/>
            </w:tcBorders>
            <w:shd w:val="clear" w:color="auto" w:fill="FFFFFF"/>
            <w:noWrap/>
            <w:vAlign w:val="bottom"/>
          </w:tcPr>
          <w:p w14:paraId="7C07FAF4">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0.88</w:t>
            </w:r>
          </w:p>
        </w:tc>
        <w:tc>
          <w:tcPr>
            <w:tcW w:w="292" w:type="pct"/>
            <w:tcBorders>
              <w:top w:val="nil"/>
              <w:left w:val="nil"/>
              <w:bottom w:val="nil"/>
              <w:right w:val="nil"/>
            </w:tcBorders>
            <w:shd w:val="clear" w:color="auto" w:fill="FFFFFF"/>
            <w:noWrap/>
            <w:vAlign w:val="bottom"/>
          </w:tcPr>
          <w:p w14:paraId="525300DC">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-0.31</w:t>
            </w:r>
          </w:p>
        </w:tc>
      </w:tr>
      <w:tr w14:paraId="1322C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606" w:type="pct"/>
            <w:tcBorders>
              <w:top w:val="nil"/>
              <w:left w:val="nil"/>
              <w:bottom w:val="single" w:color="000000" w:sz="12" w:space="0"/>
              <w:right w:val="nil"/>
            </w:tcBorders>
            <w:shd w:val="clear" w:color="auto" w:fill="FFFFFF"/>
            <w:noWrap/>
            <w:vAlign w:val="top"/>
          </w:tcPr>
          <w:p w14:paraId="5D7A52C4">
            <w:pPr>
              <w:keepNext w:val="0"/>
              <w:keepLines w:val="0"/>
              <w:widowControl/>
              <w:suppressLineNumbers w:val="0"/>
              <w:jc w:val="center"/>
              <w:textAlignment w:val="top"/>
              <w:rPr>
                <w:rFonts w:hint="default" w:ascii="Times New Roman" w:hAnsi="Times New Roman" w:eastAsia="宋体" w:cs="Times New Roman"/>
                <w:b w:val="0"/>
                <w:bCs/>
                <w:i w:val="0"/>
                <w:iCs w:val="0"/>
                <w:color w:val="000000"/>
                <w:sz w:val="22"/>
                <w:szCs w:val="22"/>
                <w:u w:val="none"/>
              </w:rPr>
            </w:pPr>
            <w:r>
              <w:rPr>
                <w:rStyle w:val="6"/>
                <w:rFonts w:hAnsi="Times New Roman"/>
                <w:b w:val="0"/>
                <w:lang w:val="en-US" w:eastAsia="zh-CN" w:bidi="ar"/>
              </w:rPr>
              <w:t>峰度系数</w:t>
            </w:r>
          </w:p>
        </w:tc>
        <w:tc>
          <w:tcPr>
            <w:tcW w:w="292" w:type="pct"/>
            <w:tcBorders>
              <w:top w:val="nil"/>
              <w:left w:val="nil"/>
              <w:bottom w:val="single" w:color="000000" w:sz="12" w:space="0"/>
              <w:right w:val="nil"/>
            </w:tcBorders>
            <w:shd w:val="clear" w:color="auto" w:fill="FFFFFF"/>
            <w:noWrap/>
            <w:vAlign w:val="bottom"/>
          </w:tcPr>
          <w:p w14:paraId="12324C3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0.20</w:t>
            </w:r>
          </w:p>
        </w:tc>
        <w:tc>
          <w:tcPr>
            <w:tcW w:w="292" w:type="pct"/>
            <w:tcBorders>
              <w:top w:val="nil"/>
              <w:left w:val="nil"/>
              <w:bottom w:val="single" w:color="000000" w:sz="12" w:space="0"/>
              <w:right w:val="nil"/>
            </w:tcBorders>
            <w:shd w:val="clear" w:color="auto" w:fill="FFFFFF"/>
            <w:noWrap/>
            <w:vAlign w:val="bottom"/>
          </w:tcPr>
          <w:p w14:paraId="2E2CC49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-0.25</w:t>
            </w:r>
          </w:p>
        </w:tc>
        <w:tc>
          <w:tcPr>
            <w:tcW w:w="292" w:type="pct"/>
            <w:gridSpan w:val="3"/>
            <w:tcBorders>
              <w:top w:val="nil"/>
              <w:left w:val="nil"/>
              <w:bottom w:val="single" w:color="000000" w:sz="12" w:space="0"/>
              <w:right w:val="nil"/>
            </w:tcBorders>
            <w:shd w:val="clear" w:color="auto" w:fill="FFFFFF"/>
            <w:noWrap/>
            <w:vAlign w:val="bottom"/>
          </w:tcPr>
          <w:p w14:paraId="7C22696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-0.34</w:t>
            </w:r>
          </w:p>
        </w:tc>
        <w:tc>
          <w:tcPr>
            <w:tcW w:w="292" w:type="pct"/>
            <w:gridSpan w:val="2"/>
            <w:tcBorders>
              <w:top w:val="nil"/>
              <w:left w:val="nil"/>
              <w:bottom w:val="single" w:color="000000" w:sz="12" w:space="0"/>
              <w:right w:val="nil"/>
            </w:tcBorders>
            <w:shd w:val="clear" w:color="auto" w:fill="FFFFFF"/>
            <w:noWrap/>
            <w:vAlign w:val="bottom"/>
          </w:tcPr>
          <w:p w14:paraId="25A04647">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0.82</w:t>
            </w:r>
          </w:p>
        </w:tc>
        <w:tc>
          <w:tcPr>
            <w:tcW w:w="292" w:type="pct"/>
            <w:gridSpan w:val="3"/>
            <w:tcBorders>
              <w:top w:val="nil"/>
              <w:left w:val="nil"/>
              <w:bottom w:val="single" w:color="000000" w:sz="12" w:space="0"/>
              <w:right w:val="nil"/>
            </w:tcBorders>
            <w:shd w:val="clear" w:color="auto" w:fill="FFFFFF"/>
            <w:noWrap/>
            <w:vAlign w:val="bottom"/>
          </w:tcPr>
          <w:p w14:paraId="434139F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0.71</w:t>
            </w:r>
          </w:p>
        </w:tc>
        <w:tc>
          <w:tcPr>
            <w:tcW w:w="292" w:type="pct"/>
            <w:gridSpan w:val="2"/>
            <w:tcBorders>
              <w:top w:val="nil"/>
              <w:left w:val="nil"/>
              <w:bottom w:val="single" w:color="000000" w:sz="12" w:space="0"/>
              <w:right w:val="nil"/>
            </w:tcBorders>
            <w:shd w:val="clear" w:color="auto" w:fill="F1F1F1" w:themeFill="background1" w:themeFillShade="F2"/>
            <w:noWrap/>
            <w:vAlign w:val="bottom"/>
          </w:tcPr>
          <w:p w14:paraId="5DEB0648">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-0.18</w:t>
            </w:r>
          </w:p>
        </w:tc>
        <w:tc>
          <w:tcPr>
            <w:tcW w:w="292" w:type="pct"/>
            <w:gridSpan w:val="2"/>
            <w:tcBorders>
              <w:top w:val="nil"/>
              <w:left w:val="nil"/>
              <w:bottom w:val="single" w:color="000000" w:sz="12" w:space="0"/>
              <w:right w:val="nil"/>
            </w:tcBorders>
            <w:shd w:val="clear" w:color="auto" w:fill="F1F1F1" w:themeFill="background1" w:themeFillShade="F2"/>
            <w:noWrap/>
            <w:vAlign w:val="bottom"/>
          </w:tcPr>
          <w:p w14:paraId="320C35ED">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-0.13</w:t>
            </w:r>
          </w:p>
        </w:tc>
        <w:tc>
          <w:tcPr>
            <w:tcW w:w="292" w:type="pct"/>
            <w:gridSpan w:val="3"/>
            <w:tcBorders>
              <w:top w:val="nil"/>
              <w:left w:val="nil"/>
              <w:bottom w:val="single" w:color="000000" w:sz="12" w:space="0"/>
              <w:right w:val="nil"/>
            </w:tcBorders>
            <w:shd w:val="clear" w:color="auto" w:fill="FFFFFF"/>
            <w:noWrap/>
            <w:vAlign w:val="bottom"/>
          </w:tcPr>
          <w:p w14:paraId="6A44A3AA">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3.35</w:t>
            </w:r>
          </w:p>
        </w:tc>
        <w:tc>
          <w:tcPr>
            <w:tcW w:w="292" w:type="pct"/>
            <w:gridSpan w:val="2"/>
            <w:tcBorders>
              <w:top w:val="nil"/>
              <w:left w:val="nil"/>
              <w:bottom w:val="single" w:color="000000" w:sz="12" w:space="0"/>
              <w:right w:val="nil"/>
            </w:tcBorders>
            <w:shd w:val="clear" w:color="auto" w:fill="FFFFFF"/>
            <w:noWrap/>
            <w:vAlign w:val="bottom"/>
          </w:tcPr>
          <w:p w14:paraId="605B5B83">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2.67</w:t>
            </w:r>
          </w:p>
        </w:tc>
        <w:tc>
          <w:tcPr>
            <w:tcW w:w="292" w:type="pct"/>
            <w:gridSpan w:val="3"/>
            <w:tcBorders>
              <w:top w:val="nil"/>
              <w:left w:val="nil"/>
              <w:bottom w:val="single" w:color="000000" w:sz="12" w:space="0"/>
              <w:right w:val="nil"/>
            </w:tcBorders>
            <w:shd w:val="clear" w:color="auto" w:fill="FFFFFF"/>
            <w:noWrap/>
            <w:vAlign w:val="bottom"/>
          </w:tcPr>
          <w:p w14:paraId="0726A95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4.28</w:t>
            </w:r>
          </w:p>
        </w:tc>
        <w:tc>
          <w:tcPr>
            <w:tcW w:w="292" w:type="pct"/>
            <w:gridSpan w:val="2"/>
            <w:tcBorders>
              <w:top w:val="nil"/>
              <w:left w:val="nil"/>
              <w:bottom w:val="single" w:color="000000" w:sz="12" w:space="0"/>
              <w:right w:val="nil"/>
            </w:tcBorders>
            <w:shd w:val="clear" w:color="auto" w:fill="FFFFFF"/>
            <w:noWrap/>
            <w:vAlign w:val="bottom"/>
          </w:tcPr>
          <w:p w14:paraId="56CCDD0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5"/>
                <w:szCs w:val="15"/>
                <w:u w:val="none"/>
                <w:lang w:val="en-US" w:eastAsia="zh-CN" w:bidi="ar"/>
              </w:rPr>
              <w:t>11.13</w:t>
            </w:r>
          </w:p>
        </w:tc>
        <w:tc>
          <w:tcPr>
            <w:tcW w:w="292" w:type="pct"/>
            <w:gridSpan w:val="2"/>
            <w:tcBorders>
              <w:top w:val="nil"/>
              <w:left w:val="nil"/>
              <w:bottom w:val="single" w:color="000000" w:sz="12" w:space="0"/>
              <w:right w:val="nil"/>
            </w:tcBorders>
            <w:shd w:val="clear" w:color="auto" w:fill="FFFFFF"/>
            <w:noWrap/>
            <w:vAlign w:val="bottom"/>
          </w:tcPr>
          <w:p w14:paraId="72F92BB2">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6.19</w:t>
            </w:r>
          </w:p>
        </w:tc>
        <w:tc>
          <w:tcPr>
            <w:tcW w:w="292" w:type="pct"/>
            <w:gridSpan w:val="3"/>
            <w:tcBorders>
              <w:top w:val="nil"/>
              <w:left w:val="nil"/>
              <w:bottom w:val="single" w:color="000000" w:sz="12" w:space="0"/>
              <w:right w:val="nil"/>
            </w:tcBorders>
            <w:shd w:val="clear" w:color="auto" w:fill="FFFFFF"/>
            <w:noWrap/>
            <w:vAlign w:val="bottom"/>
          </w:tcPr>
          <w:p w14:paraId="5335A7C9">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9.48</w:t>
            </w:r>
          </w:p>
        </w:tc>
        <w:tc>
          <w:tcPr>
            <w:tcW w:w="292" w:type="pct"/>
            <w:tcBorders>
              <w:top w:val="nil"/>
              <w:left w:val="nil"/>
              <w:bottom w:val="single" w:color="000000" w:sz="12" w:space="0"/>
              <w:right w:val="nil"/>
            </w:tcBorders>
            <w:shd w:val="clear" w:color="auto" w:fill="FFFFFF"/>
            <w:noWrap/>
            <w:vAlign w:val="bottom"/>
          </w:tcPr>
          <w:p w14:paraId="2C77977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3.29</w:t>
            </w:r>
          </w:p>
        </w:tc>
        <w:tc>
          <w:tcPr>
            <w:tcW w:w="292" w:type="pct"/>
            <w:tcBorders>
              <w:top w:val="nil"/>
              <w:left w:val="nil"/>
              <w:bottom w:val="single" w:color="000000" w:sz="12" w:space="0"/>
              <w:right w:val="nil"/>
            </w:tcBorders>
            <w:shd w:val="clear" w:color="auto" w:fill="FFFFFF"/>
            <w:noWrap/>
            <w:vAlign w:val="bottom"/>
          </w:tcPr>
          <w:p w14:paraId="008099DB">
            <w:pPr>
              <w:keepNext w:val="0"/>
              <w:keepLines w:val="0"/>
              <w:widowControl/>
              <w:suppressLineNumbers w:val="0"/>
              <w:jc w:val="center"/>
              <w:textAlignment w:val="bottom"/>
              <w:rPr>
                <w:rFonts w:hint="default" w:ascii="Times New Roman" w:hAnsi="Times New Roman" w:eastAsia="宋体" w:cs="Times New Roman"/>
                <w:b w:val="0"/>
                <w:i w:val="0"/>
                <w:iCs w:val="0"/>
                <w:color w:val="000000"/>
                <w:sz w:val="16"/>
                <w:szCs w:val="16"/>
                <w:u w:val="none"/>
              </w:rPr>
            </w:pPr>
            <w:r>
              <w:rPr>
                <w:rFonts w:hint="default" w:ascii="Times New Roman" w:hAnsi="Times New Roman" w:eastAsia="宋体" w:cs="Times New Roman"/>
                <w:b w:val="0"/>
                <w:i w:val="0"/>
                <w:iCs w:val="0"/>
                <w:color w:val="000000"/>
                <w:kern w:val="0"/>
                <w:sz w:val="16"/>
                <w:szCs w:val="16"/>
                <w:u w:val="none"/>
                <w:lang w:val="en-US" w:eastAsia="zh-CN" w:bidi="ar"/>
              </w:rPr>
              <w:t>-0.65</w:t>
            </w:r>
          </w:p>
        </w:tc>
      </w:tr>
      <w:tr w14:paraId="3FB38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606" w:type="pct"/>
            <w:tcBorders>
              <w:top w:val="nil"/>
              <w:left w:val="nil"/>
              <w:bottom w:val="nil"/>
              <w:right w:val="nil"/>
            </w:tcBorders>
            <w:shd w:val="clear" w:color="auto" w:fill="FFFFFF"/>
            <w:noWrap/>
            <w:vAlign w:val="bottom"/>
          </w:tcPr>
          <w:p w14:paraId="6120C7BF">
            <w:pPr>
              <w:rPr>
                <w:rFonts w:hint="eastAsia" w:ascii="宋体" w:hAnsi="宋体" w:eastAsia="宋体" w:cs="宋体"/>
                <w:i w:val="0"/>
                <w:iCs w:val="0"/>
                <w:color w:val="000000"/>
                <w:sz w:val="22"/>
                <w:szCs w:val="22"/>
                <w:u w:val="none"/>
              </w:rPr>
            </w:pPr>
          </w:p>
        </w:tc>
        <w:tc>
          <w:tcPr>
            <w:tcW w:w="292" w:type="pct"/>
            <w:tcBorders>
              <w:top w:val="nil"/>
              <w:left w:val="nil"/>
              <w:bottom w:val="nil"/>
              <w:right w:val="nil"/>
            </w:tcBorders>
            <w:shd w:val="clear" w:color="auto" w:fill="FFFFFF"/>
            <w:noWrap/>
            <w:vAlign w:val="bottom"/>
          </w:tcPr>
          <w:p w14:paraId="275F0BF7">
            <w:pPr>
              <w:jc w:val="center"/>
              <w:rPr>
                <w:rFonts w:hint="eastAsia" w:ascii="宋体" w:hAnsi="宋体" w:eastAsia="宋体" w:cs="宋体"/>
                <w:b w:val="0"/>
                <w:i w:val="0"/>
                <w:iCs w:val="0"/>
                <w:color w:val="000000"/>
                <w:sz w:val="16"/>
                <w:szCs w:val="16"/>
                <w:u w:val="none"/>
              </w:rPr>
            </w:pPr>
          </w:p>
        </w:tc>
        <w:tc>
          <w:tcPr>
            <w:tcW w:w="292" w:type="pct"/>
            <w:tcBorders>
              <w:top w:val="nil"/>
              <w:left w:val="nil"/>
              <w:bottom w:val="nil"/>
              <w:right w:val="nil"/>
            </w:tcBorders>
            <w:shd w:val="clear" w:color="auto" w:fill="FFFFFF"/>
            <w:noWrap/>
            <w:vAlign w:val="bottom"/>
          </w:tcPr>
          <w:p w14:paraId="48631EE3">
            <w:pPr>
              <w:jc w:val="center"/>
              <w:rPr>
                <w:rFonts w:hint="eastAsia" w:ascii="宋体" w:hAnsi="宋体" w:eastAsia="宋体" w:cs="宋体"/>
                <w:b w:val="0"/>
                <w:i w:val="0"/>
                <w:iCs w:val="0"/>
                <w:color w:val="000000"/>
                <w:sz w:val="16"/>
                <w:szCs w:val="16"/>
                <w:u w:val="none"/>
              </w:rPr>
            </w:pPr>
          </w:p>
        </w:tc>
        <w:tc>
          <w:tcPr>
            <w:tcW w:w="292" w:type="pct"/>
            <w:gridSpan w:val="3"/>
            <w:tcBorders>
              <w:top w:val="nil"/>
              <w:left w:val="nil"/>
              <w:bottom w:val="nil"/>
              <w:right w:val="nil"/>
            </w:tcBorders>
            <w:shd w:val="clear" w:color="auto" w:fill="FFFFFF"/>
            <w:noWrap/>
            <w:vAlign w:val="bottom"/>
          </w:tcPr>
          <w:p w14:paraId="69835414">
            <w:pPr>
              <w:jc w:val="center"/>
              <w:rPr>
                <w:rFonts w:hint="eastAsia" w:ascii="宋体" w:hAnsi="宋体" w:eastAsia="宋体" w:cs="宋体"/>
                <w:b w:val="0"/>
                <w:i w:val="0"/>
                <w:iCs w:val="0"/>
                <w:color w:val="000000"/>
                <w:sz w:val="16"/>
                <w:szCs w:val="16"/>
                <w:u w:val="none"/>
              </w:rPr>
            </w:pPr>
          </w:p>
        </w:tc>
        <w:tc>
          <w:tcPr>
            <w:tcW w:w="292" w:type="pct"/>
            <w:gridSpan w:val="2"/>
            <w:tcBorders>
              <w:top w:val="nil"/>
              <w:left w:val="nil"/>
              <w:bottom w:val="nil"/>
              <w:right w:val="nil"/>
            </w:tcBorders>
            <w:shd w:val="clear" w:color="auto" w:fill="FFFFFF"/>
            <w:noWrap/>
            <w:vAlign w:val="bottom"/>
          </w:tcPr>
          <w:p w14:paraId="11822F03">
            <w:pPr>
              <w:jc w:val="center"/>
              <w:rPr>
                <w:rFonts w:hint="eastAsia" w:ascii="宋体" w:hAnsi="宋体" w:eastAsia="宋体" w:cs="宋体"/>
                <w:b w:val="0"/>
                <w:i w:val="0"/>
                <w:iCs w:val="0"/>
                <w:color w:val="000000"/>
                <w:sz w:val="16"/>
                <w:szCs w:val="16"/>
                <w:u w:val="none"/>
              </w:rPr>
            </w:pPr>
          </w:p>
        </w:tc>
        <w:tc>
          <w:tcPr>
            <w:tcW w:w="292" w:type="pct"/>
            <w:gridSpan w:val="3"/>
            <w:tcBorders>
              <w:top w:val="nil"/>
              <w:left w:val="nil"/>
              <w:bottom w:val="nil"/>
              <w:right w:val="nil"/>
            </w:tcBorders>
            <w:shd w:val="clear" w:color="auto" w:fill="FFFFFF"/>
            <w:noWrap/>
            <w:vAlign w:val="bottom"/>
          </w:tcPr>
          <w:p w14:paraId="2CD4BF03">
            <w:pPr>
              <w:jc w:val="center"/>
              <w:rPr>
                <w:rFonts w:hint="eastAsia" w:ascii="宋体" w:hAnsi="宋体" w:eastAsia="宋体" w:cs="宋体"/>
                <w:b w:val="0"/>
                <w:i w:val="0"/>
                <w:iCs w:val="0"/>
                <w:color w:val="000000"/>
                <w:sz w:val="16"/>
                <w:szCs w:val="16"/>
                <w:u w:val="none"/>
              </w:rPr>
            </w:pPr>
          </w:p>
        </w:tc>
        <w:tc>
          <w:tcPr>
            <w:tcW w:w="292" w:type="pct"/>
            <w:gridSpan w:val="2"/>
            <w:tcBorders>
              <w:top w:val="nil"/>
              <w:left w:val="nil"/>
              <w:bottom w:val="nil"/>
              <w:right w:val="nil"/>
            </w:tcBorders>
            <w:shd w:val="clear" w:color="auto" w:fill="FFFFFF"/>
            <w:noWrap/>
            <w:vAlign w:val="bottom"/>
          </w:tcPr>
          <w:p w14:paraId="12AA0351">
            <w:pPr>
              <w:jc w:val="center"/>
              <w:rPr>
                <w:rFonts w:hint="eastAsia" w:ascii="宋体" w:hAnsi="宋体" w:eastAsia="宋体" w:cs="宋体"/>
                <w:b w:val="0"/>
                <w:i w:val="0"/>
                <w:iCs w:val="0"/>
                <w:color w:val="000000"/>
                <w:sz w:val="16"/>
                <w:szCs w:val="16"/>
                <w:u w:val="none"/>
              </w:rPr>
            </w:pPr>
          </w:p>
        </w:tc>
        <w:tc>
          <w:tcPr>
            <w:tcW w:w="292" w:type="pct"/>
            <w:gridSpan w:val="2"/>
            <w:tcBorders>
              <w:top w:val="nil"/>
              <w:left w:val="nil"/>
              <w:bottom w:val="nil"/>
              <w:right w:val="nil"/>
            </w:tcBorders>
            <w:shd w:val="clear" w:color="auto" w:fill="FFFFFF"/>
            <w:noWrap/>
            <w:vAlign w:val="bottom"/>
          </w:tcPr>
          <w:p w14:paraId="02B40F66">
            <w:pPr>
              <w:jc w:val="center"/>
              <w:rPr>
                <w:rFonts w:hint="eastAsia" w:ascii="宋体" w:hAnsi="宋体" w:eastAsia="宋体" w:cs="宋体"/>
                <w:b w:val="0"/>
                <w:i w:val="0"/>
                <w:iCs w:val="0"/>
                <w:color w:val="000000"/>
                <w:sz w:val="16"/>
                <w:szCs w:val="16"/>
                <w:u w:val="none"/>
              </w:rPr>
            </w:pPr>
          </w:p>
        </w:tc>
        <w:tc>
          <w:tcPr>
            <w:tcW w:w="292" w:type="pct"/>
            <w:gridSpan w:val="3"/>
            <w:tcBorders>
              <w:top w:val="nil"/>
              <w:left w:val="nil"/>
              <w:bottom w:val="nil"/>
              <w:right w:val="nil"/>
            </w:tcBorders>
            <w:shd w:val="clear" w:color="auto" w:fill="FFFFFF"/>
            <w:noWrap/>
            <w:vAlign w:val="bottom"/>
          </w:tcPr>
          <w:p w14:paraId="28781B06">
            <w:pPr>
              <w:jc w:val="center"/>
              <w:rPr>
                <w:rFonts w:hint="eastAsia" w:ascii="宋体" w:hAnsi="宋体" w:eastAsia="宋体" w:cs="宋体"/>
                <w:b w:val="0"/>
                <w:i w:val="0"/>
                <w:iCs w:val="0"/>
                <w:color w:val="000000"/>
                <w:sz w:val="16"/>
                <w:szCs w:val="16"/>
                <w:u w:val="none"/>
              </w:rPr>
            </w:pPr>
          </w:p>
        </w:tc>
        <w:tc>
          <w:tcPr>
            <w:tcW w:w="292" w:type="pct"/>
            <w:gridSpan w:val="2"/>
            <w:tcBorders>
              <w:top w:val="nil"/>
              <w:left w:val="nil"/>
              <w:bottom w:val="nil"/>
              <w:right w:val="nil"/>
            </w:tcBorders>
            <w:shd w:val="clear" w:color="auto" w:fill="FFFFFF"/>
            <w:noWrap/>
            <w:vAlign w:val="bottom"/>
          </w:tcPr>
          <w:p w14:paraId="28C96033">
            <w:pPr>
              <w:jc w:val="center"/>
              <w:rPr>
                <w:rFonts w:hint="eastAsia" w:ascii="宋体" w:hAnsi="宋体" w:eastAsia="宋体" w:cs="宋体"/>
                <w:b w:val="0"/>
                <w:i w:val="0"/>
                <w:iCs w:val="0"/>
                <w:color w:val="000000"/>
                <w:sz w:val="16"/>
                <w:szCs w:val="16"/>
                <w:u w:val="none"/>
              </w:rPr>
            </w:pPr>
          </w:p>
        </w:tc>
        <w:tc>
          <w:tcPr>
            <w:tcW w:w="292" w:type="pct"/>
            <w:gridSpan w:val="3"/>
            <w:tcBorders>
              <w:top w:val="nil"/>
              <w:left w:val="nil"/>
              <w:bottom w:val="nil"/>
              <w:right w:val="nil"/>
            </w:tcBorders>
            <w:shd w:val="clear" w:color="auto" w:fill="FFFFFF"/>
            <w:noWrap/>
            <w:vAlign w:val="bottom"/>
          </w:tcPr>
          <w:p w14:paraId="4281C1E4">
            <w:pPr>
              <w:jc w:val="center"/>
              <w:rPr>
                <w:rFonts w:hint="eastAsia" w:ascii="宋体" w:hAnsi="宋体" w:eastAsia="宋体" w:cs="宋体"/>
                <w:b w:val="0"/>
                <w:i w:val="0"/>
                <w:iCs w:val="0"/>
                <w:color w:val="000000"/>
                <w:sz w:val="16"/>
                <w:szCs w:val="16"/>
                <w:u w:val="none"/>
              </w:rPr>
            </w:pPr>
          </w:p>
        </w:tc>
        <w:tc>
          <w:tcPr>
            <w:tcW w:w="292" w:type="pct"/>
            <w:gridSpan w:val="2"/>
            <w:tcBorders>
              <w:top w:val="nil"/>
              <w:left w:val="nil"/>
              <w:bottom w:val="nil"/>
              <w:right w:val="nil"/>
            </w:tcBorders>
            <w:shd w:val="clear" w:color="auto" w:fill="FFFFFF"/>
            <w:noWrap/>
            <w:vAlign w:val="bottom"/>
          </w:tcPr>
          <w:p w14:paraId="2E3B8C7F">
            <w:pPr>
              <w:jc w:val="center"/>
              <w:rPr>
                <w:rFonts w:hint="eastAsia" w:ascii="宋体" w:hAnsi="宋体" w:eastAsia="宋体" w:cs="宋体"/>
                <w:b w:val="0"/>
                <w:i w:val="0"/>
                <w:iCs w:val="0"/>
                <w:color w:val="000000"/>
                <w:sz w:val="16"/>
                <w:szCs w:val="16"/>
                <w:u w:val="none"/>
              </w:rPr>
            </w:pPr>
          </w:p>
        </w:tc>
        <w:tc>
          <w:tcPr>
            <w:tcW w:w="292" w:type="pct"/>
            <w:gridSpan w:val="2"/>
            <w:tcBorders>
              <w:top w:val="nil"/>
              <w:left w:val="nil"/>
              <w:bottom w:val="nil"/>
              <w:right w:val="nil"/>
            </w:tcBorders>
            <w:shd w:val="clear" w:color="auto" w:fill="FFFFFF"/>
            <w:noWrap/>
            <w:vAlign w:val="bottom"/>
          </w:tcPr>
          <w:p w14:paraId="4F5D98FB">
            <w:pPr>
              <w:jc w:val="center"/>
              <w:rPr>
                <w:rFonts w:hint="eastAsia" w:ascii="宋体" w:hAnsi="宋体" w:eastAsia="宋体" w:cs="宋体"/>
                <w:b w:val="0"/>
                <w:i w:val="0"/>
                <w:iCs w:val="0"/>
                <w:color w:val="000000"/>
                <w:sz w:val="16"/>
                <w:szCs w:val="16"/>
                <w:u w:val="none"/>
              </w:rPr>
            </w:pPr>
          </w:p>
        </w:tc>
        <w:tc>
          <w:tcPr>
            <w:tcW w:w="292" w:type="pct"/>
            <w:gridSpan w:val="3"/>
            <w:tcBorders>
              <w:top w:val="nil"/>
              <w:left w:val="nil"/>
              <w:bottom w:val="nil"/>
              <w:right w:val="nil"/>
            </w:tcBorders>
            <w:shd w:val="clear" w:color="auto" w:fill="FFFFFF"/>
            <w:noWrap/>
            <w:vAlign w:val="bottom"/>
          </w:tcPr>
          <w:p w14:paraId="55859505">
            <w:pPr>
              <w:jc w:val="center"/>
              <w:rPr>
                <w:rFonts w:hint="eastAsia" w:ascii="宋体" w:hAnsi="宋体" w:eastAsia="宋体" w:cs="宋体"/>
                <w:b w:val="0"/>
                <w:i w:val="0"/>
                <w:iCs w:val="0"/>
                <w:color w:val="000000"/>
                <w:sz w:val="16"/>
                <w:szCs w:val="16"/>
                <w:u w:val="none"/>
              </w:rPr>
            </w:pPr>
          </w:p>
        </w:tc>
        <w:tc>
          <w:tcPr>
            <w:tcW w:w="292" w:type="pct"/>
            <w:tcBorders>
              <w:top w:val="nil"/>
              <w:left w:val="nil"/>
              <w:bottom w:val="nil"/>
              <w:right w:val="nil"/>
            </w:tcBorders>
            <w:shd w:val="clear" w:color="auto" w:fill="FFFFFF"/>
            <w:noWrap/>
            <w:vAlign w:val="bottom"/>
          </w:tcPr>
          <w:p w14:paraId="27D0BFB1">
            <w:pPr>
              <w:jc w:val="center"/>
              <w:rPr>
                <w:rFonts w:hint="eastAsia" w:ascii="宋体" w:hAnsi="宋体" w:eastAsia="宋体" w:cs="宋体"/>
                <w:b w:val="0"/>
                <w:i w:val="0"/>
                <w:iCs w:val="0"/>
                <w:color w:val="000000"/>
                <w:sz w:val="16"/>
                <w:szCs w:val="16"/>
                <w:u w:val="none"/>
              </w:rPr>
            </w:pPr>
          </w:p>
        </w:tc>
        <w:tc>
          <w:tcPr>
            <w:tcW w:w="292" w:type="pct"/>
            <w:tcBorders>
              <w:top w:val="nil"/>
              <w:left w:val="nil"/>
              <w:bottom w:val="nil"/>
              <w:right w:val="nil"/>
            </w:tcBorders>
            <w:shd w:val="clear" w:color="auto" w:fill="FFFFFF"/>
            <w:noWrap/>
            <w:vAlign w:val="bottom"/>
          </w:tcPr>
          <w:p w14:paraId="3430C043">
            <w:pPr>
              <w:jc w:val="center"/>
              <w:rPr>
                <w:rFonts w:hint="eastAsia" w:ascii="宋体" w:hAnsi="宋体" w:eastAsia="宋体" w:cs="宋体"/>
                <w:b w:val="0"/>
                <w:i w:val="0"/>
                <w:iCs w:val="0"/>
                <w:color w:val="000000"/>
                <w:sz w:val="16"/>
                <w:szCs w:val="16"/>
                <w:u w:val="none"/>
              </w:rPr>
            </w:pPr>
          </w:p>
        </w:tc>
      </w:tr>
      <w:tr w14:paraId="3B19B2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 w:hRule="atLeast"/>
        </w:trPr>
        <w:tc>
          <w:tcPr>
            <w:tcW w:w="5000" w:type="pct"/>
            <w:gridSpan w:val="32"/>
            <w:tcBorders>
              <w:top w:val="nil"/>
              <w:left w:val="nil"/>
              <w:bottom w:val="nil"/>
              <w:right w:val="nil"/>
            </w:tcBorders>
            <w:shd w:val="clear" w:color="auto" w:fill="FFFFFF"/>
            <w:noWrap/>
            <w:vAlign w:val="bottom"/>
          </w:tcPr>
          <w:p w14:paraId="49C536C3">
            <w:pPr>
              <w:jc w:val="left"/>
              <w:rPr>
                <w:rFonts w:hint="eastAsia" w:ascii="宋体" w:hAnsi="宋体" w:eastAsia="宋体" w:cs="宋体"/>
                <w:b w:val="0"/>
                <w:i w:val="0"/>
                <w:iCs w:val="0"/>
                <w:color w:val="000000"/>
                <w:sz w:val="16"/>
                <w:szCs w:val="16"/>
                <w:u w:val="none"/>
              </w:rPr>
            </w:pPr>
            <w:r>
              <w:rPr>
                <w:rFonts w:hint="eastAsia" w:ascii="楷体" w:hAnsi="楷体" w:eastAsia="楷体" w:cs="楷体"/>
                <w:i/>
                <w:iCs/>
                <w:color w:val="004098"/>
                <w:kern w:val="0"/>
                <w:sz w:val="20"/>
                <w:szCs w:val="20"/>
                <w:u w:val="none"/>
                <w:lang w:val="en-US" w:eastAsia="zh-CN" w:bidi="ar"/>
              </w:rPr>
              <w:t xml:space="preserve">峰度系数表征分布尖峭程度和尾部粗细的一个特征数，大于 </w:t>
            </w:r>
            <w:r>
              <w:rPr>
                <w:rStyle w:val="7"/>
                <w:lang w:val="en-US" w:eastAsia="zh-CN" w:bidi="ar"/>
              </w:rPr>
              <w:t xml:space="preserve">0 </w:t>
            </w:r>
            <w:r>
              <w:rPr>
                <w:rStyle w:val="8"/>
                <w:lang w:val="en-US" w:eastAsia="zh-CN" w:bidi="ar"/>
              </w:rPr>
              <w:t>说明较正态分布更尖峭。</w:t>
            </w:r>
          </w:p>
        </w:tc>
      </w:tr>
      <w:tr w14:paraId="2ED263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598" w:type="pct"/>
          <w:trHeight w:val="360" w:hRule="atLeast"/>
        </w:trPr>
        <w:tc>
          <w:tcPr>
            <w:tcW w:w="4401" w:type="pct"/>
            <w:gridSpan w:val="29"/>
            <w:tcBorders>
              <w:top w:val="nil"/>
              <w:left w:val="nil"/>
              <w:bottom w:val="nil"/>
              <w:right w:val="nil"/>
            </w:tcBorders>
            <w:shd w:val="clear" w:color="auto" w:fill="FFFFFF"/>
            <w:noWrap/>
            <w:vAlign w:val="bottom"/>
          </w:tcPr>
          <w:p w14:paraId="611ACE18">
            <w:pPr>
              <w:rPr>
                <w:rFonts w:hint="eastAsia" w:ascii="宋体" w:hAnsi="宋体" w:eastAsia="宋体" w:cs="宋体"/>
                <w:i w:val="0"/>
                <w:iCs w:val="0"/>
                <w:color w:val="000000"/>
                <w:sz w:val="22"/>
                <w:szCs w:val="22"/>
                <w:u w:val="none"/>
              </w:rPr>
            </w:pPr>
            <w:r>
              <w:rPr>
                <w:rFonts w:hint="eastAsia" w:ascii="楷体" w:hAnsi="楷体" w:eastAsia="楷体" w:cs="楷体"/>
                <w:i/>
                <w:iCs/>
                <w:color w:val="004098"/>
                <w:kern w:val="0"/>
                <w:sz w:val="20"/>
                <w:szCs w:val="20"/>
                <w:u w:val="none"/>
                <w:lang w:val="en-US" w:eastAsia="zh-CN" w:bidi="ar"/>
              </w:rPr>
              <w:t xml:space="preserve">偏态系数是描述偏离对称程度程度的一个特征数，大于 </w:t>
            </w:r>
            <w:r>
              <w:rPr>
                <w:rStyle w:val="7"/>
                <w:lang w:val="en-US" w:eastAsia="zh-CN" w:bidi="ar"/>
              </w:rPr>
              <w:t xml:space="preserve">0 </w:t>
            </w:r>
            <w:r>
              <w:rPr>
                <w:rStyle w:val="8"/>
                <w:lang w:val="en-US" w:eastAsia="zh-CN" w:bidi="ar"/>
              </w:rPr>
              <w:t xml:space="preserve">代表右偏，小于 </w:t>
            </w:r>
            <w:r>
              <w:rPr>
                <w:rStyle w:val="7"/>
                <w:lang w:val="en-US" w:eastAsia="zh-CN" w:bidi="ar"/>
              </w:rPr>
              <w:t xml:space="preserve">0 </w:t>
            </w:r>
            <w:r>
              <w:rPr>
                <w:rStyle w:val="8"/>
                <w:lang w:val="en-US" w:eastAsia="zh-CN" w:bidi="ar"/>
              </w:rPr>
              <w:t>代表左偏。</w:t>
            </w:r>
          </w:p>
        </w:tc>
      </w:tr>
      <w:tr w14:paraId="05E195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3"/>
          <w:wAfter w:w="598" w:type="pct"/>
          <w:trHeight w:val="280" w:hRule="atLeast"/>
        </w:trPr>
        <w:tc>
          <w:tcPr>
            <w:tcW w:w="1228" w:type="pct"/>
            <w:gridSpan w:val="4"/>
            <w:tcBorders>
              <w:top w:val="nil"/>
              <w:left w:val="nil"/>
              <w:bottom w:val="nil"/>
              <w:right w:val="nil"/>
            </w:tcBorders>
            <w:shd w:val="clear" w:color="auto" w:fill="FFFFFF"/>
            <w:noWrap/>
            <w:vAlign w:val="bottom"/>
          </w:tcPr>
          <w:p w14:paraId="29808809">
            <w:pPr>
              <w:rPr>
                <w:rFonts w:hint="eastAsia" w:ascii="宋体" w:hAnsi="宋体" w:eastAsia="宋体" w:cs="宋体"/>
                <w:i w:val="0"/>
                <w:iCs w:val="0"/>
                <w:color w:val="000000"/>
                <w:sz w:val="22"/>
                <w:szCs w:val="22"/>
                <w:u w:val="none"/>
              </w:rPr>
            </w:pPr>
          </w:p>
        </w:tc>
        <w:tc>
          <w:tcPr>
            <w:tcW w:w="205" w:type="pct"/>
            <w:tcBorders>
              <w:top w:val="nil"/>
              <w:left w:val="nil"/>
              <w:bottom w:val="nil"/>
              <w:right w:val="nil"/>
            </w:tcBorders>
            <w:shd w:val="clear" w:color="auto" w:fill="FFFFFF"/>
            <w:noWrap/>
            <w:vAlign w:val="bottom"/>
          </w:tcPr>
          <w:p w14:paraId="3C4A3D20">
            <w:pPr>
              <w:rPr>
                <w:rFonts w:hint="eastAsia" w:ascii="宋体" w:hAnsi="宋体" w:eastAsia="宋体" w:cs="宋体"/>
                <w:i w:val="0"/>
                <w:iCs w:val="0"/>
                <w:color w:val="000000"/>
                <w:sz w:val="22"/>
                <w:szCs w:val="22"/>
                <w:u w:val="none"/>
              </w:rPr>
            </w:pPr>
          </w:p>
        </w:tc>
        <w:tc>
          <w:tcPr>
            <w:tcW w:w="205" w:type="pct"/>
            <w:gridSpan w:val="2"/>
            <w:tcBorders>
              <w:top w:val="nil"/>
              <w:left w:val="nil"/>
              <w:bottom w:val="nil"/>
              <w:right w:val="nil"/>
            </w:tcBorders>
            <w:shd w:val="clear" w:color="auto" w:fill="FFFFFF"/>
            <w:noWrap/>
            <w:vAlign w:val="bottom"/>
          </w:tcPr>
          <w:p w14:paraId="24CDE79D">
            <w:pPr>
              <w:rPr>
                <w:rFonts w:hint="eastAsia" w:ascii="宋体" w:hAnsi="宋体" w:eastAsia="宋体" w:cs="宋体"/>
                <w:i w:val="0"/>
                <w:iCs w:val="0"/>
                <w:color w:val="000000"/>
                <w:sz w:val="22"/>
                <w:szCs w:val="22"/>
                <w:u w:val="none"/>
              </w:rPr>
            </w:pPr>
          </w:p>
        </w:tc>
        <w:tc>
          <w:tcPr>
            <w:tcW w:w="205" w:type="pct"/>
            <w:gridSpan w:val="2"/>
            <w:tcBorders>
              <w:top w:val="nil"/>
              <w:left w:val="nil"/>
              <w:bottom w:val="nil"/>
              <w:right w:val="nil"/>
            </w:tcBorders>
            <w:shd w:val="clear" w:color="auto" w:fill="FFFFFF"/>
            <w:noWrap/>
            <w:vAlign w:val="bottom"/>
          </w:tcPr>
          <w:p w14:paraId="5D4371DA">
            <w:pPr>
              <w:rPr>
                <w:rFonts w:hint="eastAsia" w:ascii="宋体" w:hAnsi="宋体" w:eastAsia="宋体" w:cs="宋体"/>
                <w:i w:val="0"/>
                <w:iCs w:val="0"/>
                <w:color w:val="000000"/>
                <w:sz w:val="22"/>
                <w:szCs w:val="22"/>
                <w:u w:val="none"/>
              </w:rPr>
            </w:pPr>
          </w:p>
        </w:tc>
        <w:tc>
          <w:tcPr>
            <w:tcW w:w="221" w:type="pct"/>
            <w:tcBorders>
              <w:top w:val="nil"/>
              <w:left w:val="nil"/>
              <w:bottom w:val="nil"/>
              <w:right w:val="nil"/>
            </w:tcBorders>
            <w:shd w:val="clear" w:color="auto" w:fill="FFFFFF"/>
            <w:noWrap/>
            <w:vAlign w:val="bottom"/>
          </w:tcPr>
          <w:p w14:paraId="182BB4D9">
            <w:pPr>
              <w:rPr>
                <w:rFonts w:hint="eastAsia" w:ascii="宋体" w:hAnsi="宋体" w:eastAsia="宋体" w:cs="宋体"/>
                <w:i w:val="0"/>
                <w:iCs w:val="0"/>
                <w:color w:val="000000"/>
                <w:sz w:val="22"/>
                <w:szCs w:val="22"/>
                <w:u w:val="none"/>
              </w:rPr>
            </w:pPr>
          </w:p>
        </w:tc>
        <w:tc>
          <w:tcPr>
            <w:tcW w:w="221" w:type="pct"/>
            <w:gridSpan w:val="2"/>
            <w:tcBorders>
              <w:top w:val="nil"/>
              <w:left w:val="nil"/>
              <w:bottom w:val="nil"/>
              <w:right w:val="nil"/>
            </w:tcBorders>
            <w:shd w:val="clear" w:color="auto" w:fill="FFFFFF"/>
            <w:noWrap/>
            <w:vAlign w:val="bottom"/>
          </w:tcPr>
          <w:p w14:paraId="021CACDA">
            <w:pPr>
              <w:rPr>
                <w:rFonts w:hint="eastAsia" w:ascii="宋体" w:hAnsi="宋体" w:eastAsia="宋体" w:cs="宋体"/>
                <w:i w:val="0"/>
                <w:iCs w:val="0"/>
                <w:color w:val="000000"/>
                <w:sz w:val="22"/>
                <w:szCs w:val="22"/>
                <w:u w:val="none"/>
              </w:rPr>
            </w:pPr>
          </w:p>
        </w:tc>
        <w:tc>
          <w:tcPr>
            <w:tcW w:w="198" w:type="pct"/>
            <w:gridSpan w:val="2"/>
            <w:tcBorders>
              <w:top w:val="nil"/>
              <w:left w:val="nil"/>
              <w:bottom w:val="nil"/>
              <w:right w:val="nil"/>
            </w:tcBorders>
            <w:shd w:val="clear" w:color="auto" w:fill="FFFFFF"/>
            <w:noWrap/>
            <w:vAlign w:val="bottom"/>
          </w:tcPr>
          <w:p w14:paraId="2DCE5028">
            <w:pPr>
              <w:rPr>
                <w:rFonts w:hint="eastAsia" w:ascii="宋体" w:hAnsi="宋体" w:eastAsia="宋体" w:cs="宋体"/>
                <w:i w:val="0"/>
                <w:iCs w:val="0"/>
                <w:color w:val="000000"/>
                <w:sz w:val="22"/>
                <w:szCs w:val="22"/>
                <w:u w:val="none"/>
              </w:rPr>
            </w:pPr>
          </w:p>
        </w:tc>
        <w:tc>
          <w:tcPr>
            <w:tcW w:w="198" w:type="pct"/>
            <w:gridSpan w:val="2"/>
            <w:tcBorders>
              <w:top w:val="nil"/>
              <w:left w:val="nil"/>
              <w:bottom w:val="nil"/>
              <w:right w:val="nil"/>
            </w:tcBorders>
            <w:shd w:val="clear" w:color="auto" w:fill="FFFFFF"/>
            <w:noWrap/>
            <w:vAlign w:val="bottom"/>
          </w:tcPr>
          <w:p w14:paraId="279949CB">
            <w:pPr>
              <w:rPr>
                <w:rFonts w:hint="eastAsia" w:ascii="宋体" w:hAnsi="宋体" w:eastAsia="宋体" w:cs="宋体"/>
                <w:i w:val="0"/>
                <w:iCs w:val="0"/>
                <w:color w:val="000000"/>
                <w:sz w:val="22"/>
                <w:szCs w:val="22"/>
                <w:u w:val="none"/>
              </w:rPr>
            </w:pPr>
          </w:p>
        </w:tc>
        <w:tc>
          <w:tcPr>
            <w:tcW w:w="214" w:type="pct"/>
            <w:tcBorders>
              <w:top w:val="nil"/>
              <w:left w:val="nil"/>
              <w:bottom w:val="nil"/>
              <w:right w:val="nil"/>
            </w:tcBorders>
            <w:shd w:val="clear" w:color="auto" w:fill="FFFFFF"/>
            <w:noWrap/>
            <w:vAlign w:val="bottom"/>
          </w:tcPr>
          <w:p w14:paraId="1918C9EF">
            <w:pPr>
              <w:rPr>
                <w:rFonts w:hint="eastAsia" w:ascii="宋体" w:hAnsi="宋体" w:eastAsia="宋体" w:cs="宋体"/>
                <w:i w:val="0"/>
                <w:iCs w:val="0"/>
                <w:color w:val="000000"/>
                <w:sz w:val="22"/>
                <w:szCs w:val="22"/>
                <w:u w:val="none"/>
              </w:rPr>
            </w:pPr>
          </w:p>
        </w:tc>
        <w:tc>
          <w:tcPr>
            <w:tcW w:w="214" w:type="pct"/>
            <w:gridSpan w:val="2"/>
            <w:tcBorders>
              <w:top w:val="nil"/>
              <w:left w:val="nil"/>
              <w:bottom w:val="nil"/>
              <w:right w:val="nil"/>
            </w:tcBorders>
            <w:shd w:val="clear" w:color="auto" w:fill="FFFFFF"/>
            <w:noWrap/>
            <w:vAlign w:val="bottom"/>
          </w:tcPr>
          <w:p w14:paraId="66C076E2">
            <w:pPr>
              <w:rPr>
                <w:rFonts w:hint="eastAsia" w:ascii="宋体" w:hAnsi="宋体" w:eastAsia="宋体" w:cs="宋体"/>
                <w:i w:val="0"/>
                <w:iCs w:val="0"/>
                <w:color w:val="000000"/>
                <w:sz w:val="22"/>
                <w:szCs w:val="22"/>
                <w:u w:val="none"/>
              </w:rPr>
            </w:pPr>
          </w:p>
        </w:tc>
        <w:tc>
          <w:tcPr>
            <w:tcW w:w="198" w:type="pct"/>
            <w:gridSpan w:val="2"/>
            <w:tcBorders>
              <w:top w:val="nil"/>
              <w:left w:val="nil"/>
              <w:bottom w:val="nil"/>
              <w:right w:val="nil"/>
            </w:tcBorders>
            <w:shd w:val="clear" w:color="auto" w:fill="FFFFFF"/>
            <w:noWrap/>
            <w:vAlign w:val="bottom"/>
          </w:tcPr>
          <w:p w14:paraId="02076CB2">
            <w:pPr>
              <w:rPr>
                <w:rFonts w:hint="eastAsia" w:ascii="宋体" w:hAnsi="宋体" w:eastAsia="宋体" w:cs="宋体"/>
                <w:i w:val="0"/>
                <w:iCs w:val="0"/>
                <w:color w:val="000000"/>
                <w:sz w:val="22"/>
                <w:szCs w:val="22"/>
                <w:u w:val="none"/>
              </w:rPr>
            </w:pPr>
          </w:p>
        </w:tc>
        <w:tc>
          <w:tcPr>
            <w:tcW w:w="214" w:type="pct"/>
            <w:tcBorders>
              <w:top w:val="nil"/>
              <w:left w:val="nil"/>
              <w:bottom w:val="nil"/>
              <w:right w:val="nil"/>
            </w:tcBorders>
            <w:shd w:val="clear" w:color="auto" w:fill="FFFFFF"/>
            <w:noWrap/>
            <w:vAlign w:val="bottom"/>
          </w:tcPr>
          <w:p w14:paraId="39CE9E23">
            <w:pPr>
              <w:rPr>
                <w:rFonts w:hint="eastAsia" w:ascii="宋体" w:hAnsi="宋体" w:eastAsia="宋体" w:cs="宋体"/>
                <w:i w:val="0"/>
                <w:iCs w:val="0"/>
                <w:color w:val="000000"/>
                <w:sz w:val="22"/>
                <w:szCs w:val="22"/>
                <w:u w:val="none"/>
              </w:rPr>
            </w:pPr>
          </w:p>
        </w:tc>
        <w:tc>
          <w:tcPr>
            <w:tcW w:w="214" w:type="pct"/>
            <w:gridSpan w:val="2"/>
            <w:tcBorders>
              <w:top w:val="nil"/>
              <w:left w:val="nil"/>
              <w:bottom w:val="nil"/>
              <w:right w:val="nil"/>
            </w:tcBorders>
            <w:shd w:val="clear" w:color="auto" w:fill="FFFFFF"/>
            <w:noWrap/>
            <w:vAlign w:val="bottom"/>
          </w:tcPr>
          <w:p w14:paraId="731384DE">
            <w:pPr>
              <w:rPr>
                <w:rFonts w:hint="eastAsia" w:ascii="宋体" w:hAnsi="宋体" w:eastAsia="宋体" w:cs="宋体"/>
                <w:i w:val="0"/>
                <w:iCs w:val="0"/>
                <w:color w:val="000000"/>
                <w:sz w:val="22"/>
                <w:szCs w:val="22"/>
                <w:u w:val="none"/>
              </w:rPr>
            </w:pPr>
          </w:p>
        </w:tc>
        <w:tc>
          <w:tcPr>
            <w:tcW w:w="214" w:type="pct"/>
            <w:gridSpan w:val="2"/>
            <w:tcBorders>
              <w:top w:val="nil"/>
              <w:left w:val="nil"/>
              <w:bottom w:val="nil"/>
              <w:right w:val="nil"/>
            </w:tcBorders>
            <w:shd w:val="clear" w:color="auto" w:fill="FFFFFF"/>
            <w:noWrap/>
            <w:vAlign w:val="bottom"/>
          </w:tcPr>
          <w:p w14:paraId="1712360B">
            <w:pPr>
              <w:rPr>
                <w:rFonts w:hint="eastAsia" w:ascii="宋体" w:hAnsi="宋体" w:eastAsia="宋体" w:cs="宋体"/>
                <w:i w:val="0"/>
                <w:iCs w:val="0"/>
                <w:color w:val="000000"/>
                <w:sz w:val="22"/>
                <w:szCs w:val="22"/>
                <w:u w:val="none"/>
              </w:rPr>
            </w:pPr>
          </w:p>
        </w:tc>
        <w:tc>
          <w:tcPr>
            <w:tcW w:w="215" w:type="pct"/>
            <w:gridSpan w:val="2"/>
            <w:tcBorders>
              <w:top w:val="nil"/>
              <w:left w:val="nil"/>
              <w:bottom w:val="nil"/>
              <w:right w:val="nil"/>
            </w:tcBorders>
            <w:shd w:val="clear" w:color="auto" w:fill="FFFFFF"/>
            <w:noWrap/>
            <w:vAlign w:val="bottom"/>
          </w:tcPr>
          <w:p w14:paraId="13AB7BBD">
            <w:pPr>
              <w:rPr>
                <w:rFonts w:hint="eastAsia" w:ascii="宋体" w:hAnsi="宋体" w:eastAsia="宋体" w:cs="宋体"/>
                <w:i w:val="0"/>
                <w:iCs w:val="0"/>
                <w:color w:val="000000"/>
                <w:sz w:val="22"/>
                <w:szCs w:val="22"/>
                <w:u w:val="none"/>
              </w:rPr>
            </w:pPr>
          </w:p>
        </w:tc>
        <w:tc>
          <w:tcPr>
            <w:tcW w:w="230" w:type="pct"/>
            <w:tcBorders>
              <w:top w:val="nil"/>
              <w:left w:val="nil"/>
              <w:bottom w:val="nil"/>
              <w:right w:val="nil"/>
            </w:tcBorders>
            <w:shd w:val="clear" w:color="auto" w:fill="FFFFFF"/>
            <w:noWrap/>
            <w:vAlign w:val="bottom"/>
          </w:tcPr>
          <w:p w14:paraId="100BE9E3">
            <w:pPr>
              <w:rPr>
                <w:rFonts w:hint="eastAsia" w:ascii="宋体" w:hAnsi="宋体" w:eastAsia="宋体" w:cs="宋体"/>
                <w:i w:val="0"/>
                <w:iCs w:val="0"/>
                <w:color w:val="000000"/>
                <w:sz w:val="22"/>
                <w:szCs w:val="22"/>
                <w:u w:val="none"/>
              </w:rPr>
            </w:pPr>
          </w:p>
        </w:tc>
      </w:tr>
    </w:tbl>
    <w:p w14:paraId="54C158A8">
      <w:pPr>
        <w:keepNext w:val="0"/>
        <w:keepLines w:val="0"/>
        <w:widowControl/>
        <w:numPr>
          <w:ilvl w:val="0"/>
          <w:numId w:val="2"/>
        </w:numPr>
        <w:suppressLineNumbers w:val="0"/>
        <w:jc w:val="left"/>
        <w:rPr>
          <w:rFonts w:hint="eastAsia" w:ascii="Times New Roman" w:hAnsi="Times New Roman" w:eastAsia="楷体_GB2312" w:cs="Times New Roman"/>
          <w:color w:val="auto"/>
          <w:u w:val="none"/>
          <w:lang w:val="en-US" w:eastAsia="zh-CN"/>
        </w:rPr>
      </w:pPr>
      <w:r>
        <w:rPr>
          <w:rFonts w:hint="default" w:ascii="Times New Roman" w:hAnsi="Times New Roman" w:eastAsia="楷体_GB2312" w:cs="Times New Roman"/>
          <w:color w:val="auto"/>
          <w:u w:val="none"/>
          <w:lang w:val="en-US" w:eastAsia="zh-CN"/>
        </w:rPr>
        <w:t>除了 3-1、5-1 年期限利差数据近似于满足标准正态分布，其余各期限利差均表现为尖峰厚尾的右偏分布</w:t>
      </w:r>
      <w:r>
        <w:rPr>
          <w:rFonts w:hint="eastAsia" w:ascii="Times New Roman" w:hAnsi="Times New Roman" w:eastAsia="楷体_GB2312" w:cs="Times New Roman"/>
          <w:color w:val="auto"/>
          <w:u w:val="none"/>
          <w:lang w:val="en-US" w:eastAsia="zh-CN"/>
        </w:rPr>
        <w:t>。</w:t>
      </w:r>
    </w:p>
    <w:p w14:paraId="027C6507">
      <w:pPr>
        <w:keepNext w:val="0"/>
        <w:keepLines w:val="0"/>
        <w:widowControl/>
        <w:numPr>
          <w:ilvl w:val="0"/>
          <w:numId w:val="2"/>
        </w:numPr>
        <w:suppressLineNumbers w:val="0"/>
        <w:jc w:val="left"/>
        <w:rPr>
          <w:rFonts w:hint="default" w:ascii="Times New Roman" w:hAnsi="Times New Roman" w:eastAsia="楷体_GB2312" w:cs="Times New Roman"/>
          <w:color w:val="auto"/>
          <w:u w:val="none"/>
          <w:lang w:val="en-US" w:eastAsia="zh-CN"/>
        </w:rPr>
      </w:pPr>
      <w:r>
        <w:rPr>
          <w:rFonts w:hint="default" w:ascii="Times New Roman" w:hAnsi="Times New Roman" w:eastAsia="楷体_GB2312" w:cs="Times New Roman"/>
          <w:color w:val="auto"/>
          <w:u w:val="none"/>
          <w:lang w:val="en-US" w:eastAsia="zh-CN"/>
        </w:rPr>
        <w:t>右偏原因是由某些特殊情况下（如2020年3月疫情爆发后短期利率较长期更大幅度下行）出现的期限利差极大值造成的，而尖峰厚尾的特征更多由于市场的高波动性以及异常值的频发性导致的。</w:t>
      </w:r>
    </w:p>
    <w:p w14:paraId="578D2B7E">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12ABA73C">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595FBB6F">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208C4F38">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4CFE7BB5">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3D9894B3">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15BCD06E">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0625E8E6">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06B198FA">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550BB8D2">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2D2C959F">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1FDFE415">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235D797E">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76BCD36E">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53A70913">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2A33DA23">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43576C34">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6691BE4D">
      <w:pPr>
        <w:keepNext w:val="0"/>
        <w:keepLines w:val="0"/>
        <w:widowControl/>
        <w:numPr>
          <w:ilvl w:val="0"/>
          <w:numId w:val="1"/>
        </w:numPr>
        <w:suppressLineNumbers w:val="0"/>
        <w:ind w:left="0" w:leftChars="0" w:firstLine="0" w:firstLineChars="0"/>
        <w:jc w:val="left"/>
        <w:rPr>
          <w:rFonts w:hint="default" w:ascii="Times New Roman" w:hAnsi="Times New Roman" w:eastAsia="楷体_GB2312" w:cs="Times New Roman"/>
          <w:color w:val="auto"/>
          <w:u w:val="none"/>
          <w:lang w:val="en-US" w:eastAsia="zh-CN"/>
        </w:rPr>
      </w:pPr>
      <w:r>
        <w:rPr>
          <w:rFonts w:hint="eastAsia" w:ascii="Times New Roman" w:hAnsi="Times New Roman" w:eastAsia="楷体_GB2312" w:cs="Times New Roman"/>
          <w:color w:val="auto"/>
          <w:u w:val="none"/>
          <w:lang w:val="en-US" w:eastAsia="zh-CN"/>
        </w:rPr>
        <w:t>期限利差量化策略构建</w:t>
      </w:r>
    </w:p>
    <w:p w14:paraId="46337D88">
      <w:pPr>
        <w:keepNext w:val="0"/>
        <w:keepLines w:val="0"/>
        <w:widowControl/>
        <w:suppressLineNumbers w:val="0"/>
        <w:jc w:val="left"/>
        <w:rPr>
          <w:rFonts w:hint="eastAsia" w:ascii="楷体" w:hAnsi="楷体" w:eastAsia="楷体" w:cs="楷体"/>
          <w:color w:val="000000"/>
          <w:kern w:val="0"/>
          <w:sz w:val="22"/>
          <w:szCs w:val="22"/>
          <w:lang w:val="en-US" w:eastAsia="zh-CN" w:bidi="ar"/>
        </w:rPr>
      </w:pPr>
      <w:r>
        <w:rPr>
          <w:rFonts w:hint="eastAsia" w:ascii="楷体" w:hAnsi="楷体" w:eastAsia="楷体" w:cs="楷体"/>
          <w:color w:val="000000"/>
          <w:kern w:val="0"/>
          <w:sz w:val="22"/>
          <w:szCs w:val="22"/>
          <w:lang w:val="en-US" w:eastAsia="zh-CN" w:bidi="ar"/>
        </w:rPr>
        <w:t>①期限利差的衡量</w:t>
      </w:r>
    </w:p>
    <w:p w14:paraId="56847CEC">
      <w:pPr>
        <w:keepNext w:val="0"/>
        <w:keepLines w:val="0"/>
        <w:widowControl/>
        <w:suppressLineNumbers w:val="0"/>
        <w:jc w:val="left"/>
        <w:rPr>
          <w:rFonts w:hint="eastAsia" w:ascii="楷体" w:hAnsi="楷体" w:eastAsia="楷体" w:cs="楷体"/>
          <w:color w:val="000000"/>
          <w:kern w:val="0"/>
          <w:sz w:val="22"/>
          <w:szCs w:val="22"/>
          <w:lang w:val="en-US" w:eastAsia="zh-CN" w:bidi="ar"/>
        </w:rPr>
      </w:pPr>
      <w:r>
        <w:rPr>
          <w:rFonts w:ascii="楷体" w:hAnsi="楷体" w:eastAsia="楷体" w:cs="楷体"/>
          <w:color w:val="000000"/>
          <w:kern w:val="0"/>
          <w:sz w:val="22"/>
          <w:szCs w:val="22"/>
          <w:lang w:val="en-US" w:eastAsia="zh-CN" w:bidi="ar"/>
        </w:rPr>
        <w:t>采取近 360 日滚动分位数（升序排列）作为判断期限利差高低的位</w:t>
      </w:r>
      <w:r>
        <w:rPr>
          <w:rFonts w:hint="eastAsia" w:ascii="楷体" w:hAnsi="楷体" w:eastAsia="楷体" w:cs="楷体"/>
          <w:color w:val="000000"/>
          <w:kern w:val="0"/>
          <w:sz w:val="22"/>
          <w:szCs w:val="22"/>
          <w:lang w:val="en-US" w:eastAsia="zh-CN" w:bidi="ar"/>
        </w:rPr>
        <w:t>置指标</w:t>
      </w:r>
    </w:p>
    <w:p w14:paraId="496DA3FA">
      <w:pPr>
        <w:keepNext w:val="0"/>
        <w:keepLines w:val="0"/>
        <w:widowControl/>
        <w:suppressLineNumbers w:val="0"/>
        <w:jc w:val="left"/>
      </w:pPr>
      <w:r>
        <w:rPr>
          <w:rFonts w:ascii="楷体" w:hAnsi="楷体" w:eastAsia="楷体" w:cs="楷体"/>
          <w:color w:val="000000"/>
          <w:kern w:val="0"/>
          <w:sz w:val="22"/>
          <w:szCs w:val="22"/>
          <w:lang w:val="en-US" w:eastAsia="zh-CN" w:bidi="ar"/>
        </w:rPr>
        <w:t>利差公式：</w:t>
      </w:r>
      <w:r>
        <w:rPr>
          <w:rFonts w:ascii="Cambria Math" w:hAnsi="Cambria Math" w:eastAsia="Cambria Math" w:cs="Cambria Math"/>
          <w:color w:val="000000"/>
          <w:kern w:val="0"/>
          <w:sz w:val="22"/>
          <w:szCs w:val="22"/>
          <w:lang w:val="en-US" w:eastAsia="zh-CN" w:bidi="ar"/>
        </w:rPr>
        <w:t xml:space="preserve">𝐶 = (𝐴 − 𝐵) × 100 </w:t>
      </w:r>
    </w:p>
    <w:p w14:paraId="56AB8F4F">
      <w:pPr>
        <w:keepNext w:val="0"/>
        <w:keepLines w:val="0"/>
        <w:widowControl/>
        <w:suppressLineNumbers w:val="0"/>
        <w:jc w:val="left"/>
      </w:pPr>
      <w:r>
        <w:rPr>
          <w:rFonts w:hint="eastAsia" w:ascii="楷体" w:hAnsi="楷体" w:eastAsia="楷体" w:cs="楷体"/>
          <w:color w:val="000000"/>
          <w:kern w:val="0"/>
          <w:sz w:val="22"/>
          <w:szCs w:val="22"/>
          <w:lang w:val="en-US" w:eastAsia="zh-CN" w:bidi="ar"/>
        </w:rPr>
        <w:t>分位数：</w:t>
      </w:r>
      <w:r>
        <w:rPr>
          <w:rFonts w:hint="default" w:ascii="Cambria Math" w:hAnsi="Cambria Math" w:eastAsia="Cambria Math" w:cs="Cambria Math"/>
          <w:color w:val="000000"/>
          <w:kern w:val="0"/>
          <w:sz w:val="22"/>
          <w:szCs w:val="22"/>
          <w:lang w:val="en-US" w:eastAsia="zh-CN" w:bidi="ar"/>
        </w:rPr>
        <w:t>𝐷</w:t>
      </w:r>
      <w:r>
        <w:rPr>
          <w:rFonts w:hint="default" w:ascii="Cambria Math" w:hAnsi="Cambria Math" w:eastAsia="Cambria Math" w:cs="Cambria Math"/>
          <w:color w:val="000000"/>
          <w:kern w:val="0"/>
          <w:sz w:val="16"/>
          <w:szCs w:val="16"/>
          <w:lang w:val="en-US" w:eastAsia="zh-CN" w:bidi="ar"/>
        </w:rPr>
        <w:t xml:space="preserve">𝑡 </w:t>
      </w:r>
      <w:r>
        <w:rPr>
          <w:rFonts w:hint="default" w:ascii="Cambria Math" w:hAnsi="Cambria Math" w:eastAsia="Cambria Math" w:cs="Cambria Math"/>
          <w:color w:val="000000"/>
          <w:kern w:val="0"/>
          <w:sz w:val="22"/>
          <w:szCs w:val="22"/>
          <w:lang w:val="en-US" w:eastAsia="zh-CN" w:bidi="ar"/>
        </w:rPr>
        <w:t>= 𝑅𝑎𝑛𝑘(𝐶</w:t>
      </w:r>
      <w:r>
        <w:rPr>
          <w:rFonts w:hint="default" w:ascii="Cambria Math" w:hAnsi="Cambria Math" w:eastAsia="Cambria Math" w:cs="Cambria Math"/>
          <w:color w:val="000000"/>
          <w:kern w:val="0"/>
          <w:sz w:val="16"/>
          <w:szCs w:val="16"/>
          <w:lang w:val="en-US" w:eastAsia="zh-CN" w:bidi="ar"/>
        </w:rPr>
        <w:t xml:space="preserve">𝑡 </w:t>
      </w:r>
      <w:r>
        <w:rPr>
          <w:rFonts w:hint="default" w:ascii="Cambria Math" w:hAnsi="Cambria Math" w:eastAsia="Cambria Math" w:cs="Cambria Math"/>
          <w:color w:val="000000"/>
          <w:kern w:val="0"/>
          <w:sz w:val="22"/>
          <w:szCs w:val="22"/>
          <w:lang w:val="en-US" w:eastAsia="zh-CN" w:bidi="ar"/>
        </w:rPr>
        <w:t>, 𝐶</w:t>
      </w:r>
      <w:r>
        <w:rPr>
          <w:rFonts w:hint="default" w:ascii="Cambria Math" w:hAnsi="Cambria Math" w:eastAsia="Cambria Math" w:cs="Cambria Math"/>
          <w:color w:val="000000"/>
          <w:kern w:val="0"/>
          <w:sz w:val="16"/>
          <w:szCs w:val="16"/>
          <w:lang w:val="en-US" w:eastAsia="zh-CN" w:bidi="ar"/>
        </w:rPr>
        <w:t>𝑡−360</w:t>
      </w:r>
      <w:r>
        <w:rPr>
          <w:rFonts w:hint="default" w:ascii="Cambria Math" w:hAnsi="Cambria Math" w:eastAsia="Cambria Math" w:cs="Cambria Math"/>
          <w:color w:val="000000"/>
          <w:kern w:val="0"/>
          <w:sz w:val="22"/>
          <w:szCs w:val="22"/>
          <w:lang w:val="en-US" w:eastAsia="zh-CN" w:bidi="ar"/>
        </w:rPr>
        <w:t>:𝐶</w:t>
      </w:r>
      <w:r>
        <w:rPr>
          <w:rFonts w:hint="default" w:ascii="Cambria Math" w:hAnsi="Cambria Math" w:eastAsia="Cambria Math" w:cs="Cambria Math"/>
          <w:color w:val="000000"/>
          <w:kern w:val="0"/>
          <w:sz w:val="16"/>
          <w:szCs w:val="16"/>
          <w:lang w:val="en-US" w:eastAsia="zh-CN" w:bidi="ar"/>
        </w:rPr>
        <w:t xml:space="preserve">𝑡 </w:t>
      </w:r>
      <w:r>
        <w:rPr>
          <w:rFonts w:hint="default" w:ascii="Cambria Math" w:hAnsi="Cambria Math" w:eastAsia="Cambria Math" w:cs="Cambria Math"/>
          <w:color w:val="000000"/>
          <w:kern w:val="0"/>
          <w:sz w:val="22"/>
          <w:szCs w:val="22"/>
          <w:lang w:val="en-US" w:eastAsia="zh-CN" w:bidi="ar"/>
        </w:rPr>
        <w:t>, 1)/360</w:t>
      </w:r>
    </w:p>
    <w:p w14:paraId="27BCB604">
      <w:pPr>
        <w:keepNext w:val="0"/>
        <w:keepLines w:val="0"/>
        <w:widowControl/>
        <w:suppressLineNumbers w:val="0"/>
        <w:jc w:val="left"/>
        <w:rPr>
          <w:rFonts w:hint="eastAsia" w:ascii="楷体" w:hAnsi="楷体" w:eastAsia="楷体" w:cs="楷体"/>
          <w:color w:val="000000"/>
          <w:kern w:val="0"/>
          <w:sz w:val="22"/>
          <w:szCs w:val="22"/>
          <w:lang w:val="en-US" w:eastAsia="zh-CN" w:bidi="ar"/>
        </w:rPr>
      </w:pPr>
    </w:p>
    <w:p w14:paraId="14C9431C">
      <w:pPr>
        <w:keepNext w:val="0"/>
        <w:keepLines w:val="0"/>
        <w:widowControl/>
        <w:numPr>
          <w:ilvl w:val="0"/>
          <w:numId w:val="0"/>
        </w:numPr>
        <w:suppressLineNumbers w:val="0"/>
        <w:jc w:val="left"/>
        <w:rPr>
          <w:rFonts w:hint="eastAsia" w:ascii="Times New Roman" w:hAnsi="Times New Roman" w:eastAsia="楷体_GB2312" w:cs="Times New Roman"/>
          <w:color w:val="auto"/>
          <w:u w:val="none"/>
          <w:lang w:val="en-US" w:eastAsia="zh-CN"/>
        </w:rPr>
      </w:pPr>
      <w:r>
        <w:rPr>
          <w:rFonts w:hint="eastAsia" w:ascii="Times New Roman" w:hAnsi="Times New Roman" w:eastAsia="楷体_GB2312" w:cs="Times New Roman"/>
          <w:color w:val="auto"/>
          <w:u w:val="none"/>
          <w:lang w:val="en-US" w:eastAsia="zh-CN"/>
        </w:rPr>
        <w:t>②交易的触发与平仓</w:t>
      </w:r>
    </w:p>
    <w:p w14:paraId="28CE791D">
      <w:pPr>
        <w:keepNext w:val="0"/>
        <w:keepLines w:val="0"/>
        <w:widowControl/>
        <w:suppressLineNumbers w:val="0"/>
        <w:jc w:val="left"/>
      </w:pPr>
      <w:r>
        <w:rPr>
          <w:rFonts w:ascii="楷体" w:hAnsi="楷体" w:eastAsia="楷体" w:cs="楷体"/>
          <w:b/>
          <w:bCs/>
          <w:color w:val="000000"/>
          <w:kern w:val="0"/>
          <w:sz w:val="22"/>
          <w:szCs w:val="22"/>
          <w:lang w:val="en-US" w:eastAsia="zh-CN" w:bidi="ar"/>
        </w:rPr>
        <w:t>做陡收益率曲线策略：</w:t>
      </w:r>
      <w:r>
        <w:rPr>
          <w:rFonts w:hint="eastAsia" w:ascii="楷体" w:hAnsi="楷体" w:eastAsia="楷体" w:cs="楷体"/>
          <w:color w:val="000000"/>
          <w:kern w:val="0"/>
          <w:sz w:val="22"/>
          <w:szCs w:val="22"/>
          <w:lang w:val="en-US" w:eastAsia="zh-CN" w:bidi="ar"/>
        </w:rPr>
        <w:t>暨设置触发交易分位点下界（</w:t>
      </w:r>
      <w:r>
        <w:rPr>
          <w:rFonts w:ascii="Cambria Math" w:hAnsi="Cambria Math" w:eastAsia="Cambria Math" w:cs="Cambria Math"/>
          <w:color w:val="000000"/>
          <w:kern w:val="0"/>
          <w:sz w:val="22"/>
          <w:szCs w:val="22"/>
          <w:lang w:val="en-US" w:eastAsia="zh-CN" w:bidi="ar"/>
        </w:rPr>
        <w:t>𝐷2</w:t>
      </w:r>
      <w:r>
        <w:rPr>
          <w:rFonts w:hint="eastAsia" w:ascii="楷体" w:hAnsi="楷体" w:eastAsia="楷体" w:cs="楷体"/>
          <w:color w:val="000000"/>
          <w:kern w:val="0"/>
          <w:sz w:val="22"/>
          <w:szCs w:val="22"/>
          <w:lang w:val="en-US" w:eastAsia="zh-CN" w:bidi="ar"/>
        </w:rPr>
        <w:t>）以及对应的触发平仓分位点上界（</w:t>
      </w:r>
      <w:r>
        <w:rPr>
          <w:rFonts w:hint="default" w:ascii="Cambria Math" w:hAnsi="Cambria Math" w:eastAsia="Cambria Math" w:cs="Cambria Math"/>
          <w:color w:val="000000"/>
          <w:kern w:val="0"/>
          <w:sz w:val="22"/>
          <w:szCs w:val="22"/>
          <w:lang w:val="en-US" w:eastAsia="zh-CN" w:bidi="ar"/>
        </w:rPr>
        <w:t>𝐷1</w:t>
      </w:r>
      <w:r>
        <w:rPr>
          <w:rFonts w:hint="eastAsia" w:ascii="楷体" w:hAnsi="楷体" w:eastAsia="楷体" w:cs="楷体"/>
          <w:color w:val="000000"/>
          <w:kern w:val="0"/>
          <w:sz w:val="22"/>
          <w:szCs w:val="22"/>
          <w:lang w:val="en-US" w:eastAsia="zh-CN" w:bidi="ar"/>
        </w:rPr>
        <w:t xml:space="preserve">），当滚动利差分位数 </w:t>
      </w:r>
      <w:r>
        <w:rPr>
          <w:rFonts w:hint="default" w:ascii="Cambria Math" w:hAnsi="Cambria Math" w:eastAsia="Cambria Math" w:cs="Cambria Math"/>
          <w:color w:val="000000"/>
          <w:kern w:val="0"/>
          <w:sz w:val="22"/>
          <w:szCs w:val="22"/>
          <w:lang w:val="en-US" w:eastAsia="zh-CN" w:bidi="ar"/>
        </w:rPr>
        <w:t>&lt;= 𝐷2</w:t>
      </w:r>
      <w:r>
        <w:rPr>
          <w:rFonts w:hint="eastAsia" w:ascii="楷体" w:hAnsi="楷体" w:eastAsia="楷体" w:cs="楷体"/>
          <w:color w:val="000000"/>
          <w:kern w:val="0"/>
          <w:sz w:val="22"/>
          <w:szCs w:val="22"/>
          <w:lang w:val="en-US" w:eastAsia="zh-CN" w:bidi="ar"/>
        </w:rPr>
        <w:t xml:space="preserve">时，触发交易（卖出长期债券，买入短期债券），并在滚动利差分位数 </w:t>
      </w:r>
      <w:r>
        <w:rPr>
          <w:rFonts w:hint="default" w:ascii="Cambria Math" w:hAnsi="Cambria Math" w:eastAsia="Cambria Math" w:cs="Cambria Math"/>
          <w:color w:val="000000"/>
          <w:kern w:val="0"/>
          <w:sz w:val="22"/>
          <w:szCs w:val="22"/>
          <w:lang w:val="en-US" w:eastAsia="zh-CN" w:bidi="ar"/>
        </w:rPr>
        <w:t>&gt;= 𝐷1</w:t>
      </w:r>
      <w:r>
        <w:rPr>
          <w:rFonts w:hint="eastAsia" w:ascii="楷体" w:hAnsi="楷体" w:eastAsia="楷体" w:cs="楷体"/>
          <w:color w:val="000000"/>
          <w:kern w:val="0"/>
          <w:sz w:val="22"/>
          <w:szCs w:val="22"/>
          <w:lang w:val="en-US" w:eastAsia="zh-CN" w:bidi="ar"/>
        </w:rPr>
        <w:t>时，触发平仓完成交易；</w:t>
      </w:r>
    </w:p>
    <w:p w14:paraId="4A331EBF">
      <w:pPr>
        <w:keepNext w:val="0"/>
        <w:keepLines w:val="0"/>
        <w:widowControl/>
        <w:suppressLineNumbers w:val="0"/>
        <w:jc w:val="left"/>
      </w:pPr>
      <w:r>
        <w:rPr>
          <w:rFonts w:ascii="楷体" w:hAnsi="楷体" w:eastAsia="楷体" w:cs="楷体"/>
          <w:b/>
          <w:bCs/>
          <w:color w:val="000000"/>
          <w:kern w:val="0"/>
          <w:sz w:val="22"/>
          <w:szCs w:val="22"/>
          <w:lang w:val="en-US" w:eastAsia="zh-CN" w:bidi="ar"/>
        </w:rPr>
        <w:t>做平收益率曲线策略：</w:t>
      </w:r>
      <w:r>
        <w:rPr>
          <w:rFonts w:hint="eastAsia" w:ascii="楷体" w:hAnsi="楷体" w:eastAsia="楷体" w:cs="楷体"/>
          <w:color w:val="000000"/>
          <w:kern w:val="0"/>
          <w:sz w:val="22"/>
          <w:szCs w:val="22"/>
          <w:lang w:val="en-US" w:eastAsia="zh-CN" w:bidi="ar"/>
        </w:rPr>
        <w:t>暨设置触发交易分位点上界</w:t>
      </w:r>
      <w:r>
        <w:rPr>
          <w:rFonts w:hint="eastAsia" w:ascii="楷体" w:hAnsi="楷体" w:eastAsia="楷体" w:cs="楷体"/>
          <w:i/>
          <w:iCs/>
          <w:color w:val="000000"/>
          <w:kern w:val="0"/>
          <w:sz w:val="22"/>
          <w:szCs w:val="22"/>
          <w:lang w:val="en-US" w:eastAsia="zh-CN" w:bidi="ar"/>
        </w:rPr>
        <w:t>（</w:t>
      </w:r>
      <w:r>
        <w:rPr>
          <w:rFonts w:ascii="Cambria Math" w:hAnsi="Cambria Math" w:eastAsia="Cambria Math" w:cs="Cambria Math"/>
          <w:color w:val="000000"/>
          <w:kern w:val="0"/>
          <w:sz w:val="22"/>
          <w:szCs w:val="22"/>
          <w:lang w:val="en-US" w:eastAsia="zh-CN" w:bidi="ar"/>
        </w:rPr>
        <w:t>𝐷1</w:t>
      </w:r>
      <w:r>
        <w:rPr>
          <w:rFonts w:hint="eastAsia" w:ascii="楷体" w:hAnsi="楷体" w:eastAsia="楷体" w:cs="楷体"/>
          <w:i/>
          <w:iCs/>
          <w:color w:val="000000"/>
          <w:kern w:val="0"/>
          <w:sz w:val="22"/>
          <w:szCs w:val="22"/>
          <w:lang w:val="en-US" w:eastAsia="zh-CN" w:bidi="ar"/>
        </w:rPr>
        <w:t>）</w:t>
      </w:r>
      <w:r>
        <w:rPr>
          <w:rFonts w:hint="eastAsia" w:ascii="楷体" w:hAnsi="楷体" w:eastAsia="楷体" w:cs="楷体"/>
          <w:color w:val="000000"/>
          <w:kern w:val="0"/>
          <w:sz w:val="22"/>
          <w:szCs w:val="22"/>
          <w:lang w:val="en-US" w:eastAsia="zh-CN" w:bidi="ar"/>
        </w:rPr>
        <w:t>以及对应的触发平仓分位点下界（</w:t>
      </w:r>
      <w:r>
        <w:rPr>
          <w:rFonts w:hint="default" w:ascii="Cambria Math" w:hAnsi="Cambria Math" w:eastAsia="Cambria Math" w:cs="Cambria Math"/>
          <w:color w:val="000000"/>
          <w:kern w:val="0"/>
          <w:sz w:val="22"/>
          <w:szCs w:val="22"/>
          <w:lang w:val="en-US" w:eastAsia="zh-CN" w:bidi="ar"/>
        </w:rPr>
        <w:t>𝐷2</w:t>
      </w:r>
      <w:r>
        <w:rPr>
          <w:rFonts w:hint="eastAsia" w:ascii="楷体" w:hAnsi="楷体" w:eastAsia="楷体" w:cs="楷体"/>
          <w:color w:val="000000"/>
          <w:kern w:val="0"/>
          <w:sz w:val="22"/>
          <w:szCs w:val="22"/>
          <w:lang w:val="en-US" w:eastAsia="zh-CN" w:bidi="ar"/>
        </w:rPr>
        <w:t xml:space="preserve">），当滚动利差分位数 </w:t>
      </w:r>
      <w:r>
        <w:rPr>
          <w:rFonts w:hint="default" w:ascii="Cambria Math" w:hAnsi="Cambria Math" w:eastAsia="Cambria Math" w:cs="Cambria Math"/>
          <w:color w:val="000000"/>
          <w:kern w:val="0"/>
          <w:sz w:val="22"/>
          <w:szCs w:val="22"/>
          <w:lang w:val="en-US" w:eastAsia="zh-CN" w:bidi="ar"/>
        </w:rPr>
        <w:t>&gt;= 𝐷1</w:t>
      </w:r>
      <w:r>
        <w:rPr>
          <w:rFonts w:hint="eastAsia" w:ascii="楷体" w:hAnsi="楷体" w:eastAsia="楷体" w:cs="楷体"/>
          <w:color w:val="000000"/>
          <w:kern w:val="0"/>
          <w:sz w:val="22"/>
          <w:szCs w:val="22"/>
          <w:lang w:val="en-US" w:eastAsia="zh-CN" w:bidi="ar"/>
        </w:rPr>
        <w:t xml:space="preserve">时，触发交易（买入长期债券，卖出短期债券），并在滚动利差分位数 </w:t>
      </w:r>
      <w:r>
        <w:rPr>
          <w:rFonts w:hint="default" w:ascii="Cambria Math" w:hAnsi="Cambria Math" w:eastAsia="Cambria Math" w:cs="Cambria Math"/>
          <w:color w:val="000000"/>
          <w:kern w:val="0"/>
          <w:sz w:val="22"/>
          <w:szCs w:val="22"/>
          <w:lang w:val="en-US" w:eastAsia="zh-CN" w:bidi="ar"/>
        </w:rPr>
        <w:t>&lt;= 𝐷2</w:t>
      </w:r>
      <w:r>
        <w:rPr>
          <w:rFonts w:hint="eastAsia" w:ascii="楷体" w:hAnsi="楷体" w:eastAsia="楷体" w:cs="楷体"/>
          <w:color w:val="000000"/>
          <w:kern w:val="0"/>
          <w:sz w:val="22"/>
          <w:szCs w:val="22"/>
          <w:lang w:val="en-US" w:eastAsia="zh-CN" w:bidi="ar"/>
        </w:rPr>
        <w:t>时，触发平仓完成交易；</w:t>
      </w:r>
    </w:p>
    <w:p w14:paraId="5863C007">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64883B6E">
      <w:pPr>
        <w:keepNext w:val="0"/>
        <w:keepLines w:val="0"/>
        <w:widowControl/>
        <w:suppressLineNumbers w:val="0"/>
        <w:jc w:val="left"/>
      </w:pPr>
      <w:r>
        <w:rPr>
          <w:rFonts w:hint="eastAsia" w:ascii="Times New Roman" w:hAnsi="Times New Roman" w:eastAsia="楷体_GB2312" w:cs="Times New Roman"/>
          <w:color w:val="auto"/>
          <w:u w:val="none"/>
          <w:lang w:val="en-US" w:eastAsia="zh-CN"/>
        </w:rPr>
        <w:t>设置条件：</w:t>
      </w:r>
      <w:r>
        <w:rPr>
          <w:rFonts w:ascii="楷体" w:hAnsi="楷体" w:eastAsia="楷体" w:cs="楷体"/>
          <w:color w:val="000000"/>
          <w:kern w:val="0"/>
          <w:sz w:val="22"/>
          <w:szCs w:val="22"/>
          <w:lang w:val="en-US" w:eastAsia="zh-CN" w:bidi="ar"/>
        </w:rPr>
        <w:t>在做陡收益率曲线策略下，触发交易分位点下界（</w:t>
      </w:r>
      <w:r>
        <w:rPr>
          <w:rFonts w:ascii="Cambria Math" w:hAnsi="Cambria Math" w:eastAsia="Cambria Math" w:cs="Cambria Math"/>
          <w:color w:val="000000"/>
          <w:kern w:val="0"/>
          <w:sz w:val="22"/>
          <w:szCs w:val="22"/>
          <w:lang w:val="en-US" w:eastAsia="zh-CN" w:bidi="ar"/>
        </w:rPr>
        <w:t>𝐷2</w:t>
      </w:r>
      <w:r>
        <w:rPr>
          <w:rFonts w:hint="eastAsia" w:ascii="楷体" w:hAnsi="楷体" w:eastAsia="楷体" w:cs="楷体"/>
          <w:color w:val="000000"/>
          <w:kern w:val="0"/>
          <w:sz w:val="22"/>
          <w:szCs w:val="22"/>
          <w:lang w:val="en-US" w:eastAsia="zh-CN" w:bidi="ar"/>
        </w:rPr>
        <w:t xml:space="preserve">）必须小于等于 50%， </w:t>
      </w:r>
    </w:p>
    <w:p w14:paraId="51A91D58">
      <w:pPr>
        <w:keepNext w:val="0"/>
        <w:keepLines w:val="0"/>
        <w:widowControl/>
        <w:suppressLineNumbers w:val="0"/>
        <w:jc w:val="left"/>
      </w:pPr>
      <w:r>
        <w:rPr>
          <w:rFonts w:hint="eastAsia" w:ascii="楷体" w:hAnsi="楷体" w:eastAsia="楷体" w:cs="楷体"/>
          <w:color w:val="000000"/>
          <w:kern w:val="0"/>
          <w:sz w:val="22"/>
          <w:szCs w:val="22"/>
          <w:lang w:val="en-US" w:eastAsia="zh-CN" w:bidi="ar"/>
        </w:rPr>
        <w:t>且对应的触发平仓分位点上界（</w:t>
      </w:r>
      <w:r>
        <w:rPr>
          <w:rFonts w:hint="default" w:ascii="Cambria Math" w:hAnsi="Cambria Math" w:eastAsia="Cambria Math" w:cs="Cambria Math"/>
          <w:color w:val="000000"/>
          <w:kern w:val="0"/>
          <w:sz w:val="22"/>
          <w:szCs w:val="22"/>
          <w:lang w:val="en-US" w:eastAsia="zh-CN" w:bidi="ar"/>
        </w:rPr>
        <w:t>𝐷1</w:t>
      </w:r>
      <w:r>
        <w:rPr>
          <w:rFonts w:hint="eastAsia" w:ascii="楷体" w:hAnsi="楷体" w:eastAsia="楷体" w:cs="楷体"/>
          <w:color w:val="000000"/>
          <w:kern w:val="0"/>
          <w:sz w:val="22"/>
          <w:szCs w:val="22"/>
          <w:lang w:val="en-US" w:eastAsia="zh-CN" w:bidi="ar"/>
        </w:rPr>
        <w:t>）至少大于等于触发交易分位点 20pp；</w:t>
      </w:r>
      <w:r>
        <w:rPr>
          <w:rFonts w:ascii="楷体" w:hAnsi="楷体" w:eastAsia="楷体" w:cs="楷体"/>
          <w:color w:val="000000"/>
          <w:kern w:val="0"/>
          <w:sz w:val="22"/>
          <w:szCs w:val="22"/>
          <w:lang w:val="en-US" w:eastAsia="zh-CN" w:bidi="ar"/>
        </w:rPr>
        <w:t>在做平收益率曲线策略下，触发交易分位点上界（</w:t>
      </w:r>
      <w:r>
        <w:rPr>
          <w:rFonts w:ascii="Cambria Math" w:hAnsi="Cambria Math" w:eastAsia="Cambria Math" w:cs="Cambria Math"/>
          <w:color w:val="000000"/>
          <w:kern w:val="0"/>
          <w:sz w:val="22"/>
          <w:szCs w:val="22"/>
          <w:lang w:val="en-US" w:eastAsia="zh-CN" w:bidi="ar"/>
        </w:rPr>
        <w:t>𝐷1</w:t>
      </w:r>
      <w:r>
        <w:rPr>
          <w:rFonts w:hint="eastAsia" w:ascii="楷体" w:hAnsi="楷体" w:eastAsia="楷体" w:cs="楷体"/>
          <w:color w:val="000000"/>
          <w:kern w:val="0"/>
          <w:sz w:val="22"/>
          <w:szCs w:val="22"/>
          <w:lang w:val="en-US" w:eastAsia="zh-CN" w:bidi="ar"/>
        </w:rPr>
        <w:t>）必须大于等于 50%，且对应的触发平仓分位点下界（</w:t>
      </w:r>
      <w:r>
        <w:rPr>
          <w:rFonts w:hint="default" w:ascii="Cambria Math" w:hAnsi="Cambria Math" w:eastAsia="Cambria Math" w:cs="Cambria Math"/>
          <w:color w:val="000000"/>
          <w:kern w:val="0"/>
          <w:sz w:val="22"/>
          <w:szCs w:val="22"/>
          <w:lang w:val="en-US" w:eastAsia="zh-CN" w:bidi="ar"/>
        </w:rPr>
        <w:t>𝐷2</w:t>
      </w:r>
      <w:r>
        <w:rPr>
          <w:rFonts w:hint="eastAsia" w:ascii="楷体" w:hAnsi="楷体" w:eastAsia="楷体" w:cs="楷体"/>
          <w:color w:val="000000"/>
          <w:kern w:val="0"/>
          <w:sz w:val="22"/>
          <w:szCs w:val="22"/>
          <w:lang w:val="en-US" w:eastAsia="zh-CN" w:bidi="ar"/>
        </w:rPr>
        <w:t>）至少小于等于触发交易分位点 20pp；</w:t>
      </w:r>
    </w:p>
    <w:p w14:paraId="09850F78">
      <w:pPr>
        <w:keepNext w:val="0"/>
        <w:keepLines w:val="0"/>
        <w:widowControl/>
        <w:suppressLineNumbers w:val="0"/>
        <w:jc w:val="left"/>
      </w:pPr>
    </w:p>
    <w:p w14:paraId="37095781">
      <w:pPr>
        <w:keepNext w:val="0"/>
        <w:keepLines w:val="0"/>
        <w:widowControl/>
        <w:suppressLineNumbers w:val="0"/>
        <w:jc w:val="left"/>
        <w:rPr>
          <w:rFonts w:hint="eastAsia" w:ascii="楷体" w:hAnsi="楷体" w:eastAsia="楷体" w:cs="楷体"/>
          <w:color w:val="000000"/>
          <w:kern w:val="0"/>
          <w:sz w:val="22"/>
          <w:szCs w:val="22"/>
          <w:lang w:val="en-US" w:eastAsia="zh-CN" w:bidi="ar"/>
        </w:rPr>
      </w:pPr>
      <w:r>
        <w:rPr>
          <w:rFonts w:hint="eastAsia" w:ascii="楷体" w:hAnsi="楷体" w:eastAsia="楷体" w:cs="楷体"/>
          <w:color w:val="000000"/>
          <w:kern w:val="0"/>
          <w:sz w:val="22"/>
          <w:szCs w:val="22"/>
          <w:lang w:val="en-US" w:eastAsia="zh-CN" w:bidi="ar"/>
        </w:rPr>
        <w:t>③止盈、止损点的设置</w:t>
      </w:r>
    </w:p>
    <w:p w14:paraId="7AFC6EEF">
      <w:pPr>
        <w:keepNext w:val="0"/>
        <w:keepLines w:val="0"/>
        <w:widowControl/>
        <w:suppressLineNumbers w:val="0"/>
        <w:jc w:val="left"/>
      </w:pPr>
      <w:r>
        <w:rPr>
          <w:rFonts w:ascii="楷体" w:hAnsi="楷体" w:eastAsia="楷体" w:cs="楷体"/>
          <w:color w:val="000000"/>
          <w:kern w:val="0"/>
          <w:sz w:val="22"/>
          <w:szCs w:val="22"/>
          <w:lang w:val="en-US" w:eastAsia="zh-CN" w:bidi="ar"/>
        </w:rPr>
        <w:t xml:space="preserve">设置每一轮建仓平仓交易内 </w:t>
      </w:r>
      <w:r>
        <w:rPr>
          <w:rFonts w:hint="eastAsia" w:ascii="楷体" w:hAnsi="楷体" w:eastAsia="楷体" w:cs="楷体"/>
          <w:color w:val="000000"/>
          <w:kern w:val="0"/>
          <w:sz w:val="22"/>
          <w:szCs w:val="22"/>
          <w:lang w:val="en-US" w:eastAsia="zh-CN" w:bidi="ar"/>
        </w:rPr>
        <w:t>的收益止盈和止损点分别为 5bp 和 -3bp。</w:t>
      </w:r>
    </w:p>
    <w:p w14:paraId="518C2400">
      <w:pPr>
        <w:keepNext w:val="0"/>
        <w:keepLines w:val="0"/>
        <w:widowControl/>
        <w:suppressLineNumbers w:val="0"/>
        <w:jc w:val="left"/>
        <w:rPr>
          <w:rFonts w:hint="default"/>
          <w:lang w:val="en-US" w:eastAsia="zh-CN"/>
        </w:rPr>
      </w:pPr>
    </w:p>
    <w:p w14:paraId="7064F5B2">
      <w:pPr>
        <w:keepNext w:val="0"/>
        <w:keepLines w:val="0"/>
        <w:widowControl/>
        <w:suppressLineNumbers w:val="0"/>
        <w:jc w:val="left"/>
        <w:rPr>
          <w:rFonts w:hint="eastAsia" w:ascii="楷体" w:hAnsi="楷体" w:eastAsia="楷体" w:cs="楷体"/>
          <w:color w:val="000000"/>
          <w:kern w:val="0"/>
          <w:sz w:val="22"/>
          <w:szCs w:val="22"/>
          <w:lang w:val="en-US" w:eastAsia="zh-CN" w:bidi="ar"/>
        </w:rPr>
      </w:pPr>
      <w:r>
        <w:rPr>
          <w:rFonts w:hint="eastAsia" w:ascii="楷体" w:hAnsi="楷体" w:eastAsia="楷体" w:cs="楷体"/>
          <w:color w:val="000000"/>
          <w:kern w:val="0"/>
          <w:sz w:val="22"/>
          <w:szCs w:val="22"/>
          <w:lang w:val="en-US" w:eastAsia="zh-CN" w:bidi="ar"/>
        </w:rPr>
        <w:t>④持有期资本利得的衡量</w:t>
      </w:r>
    </w:p>
    <w:p w14:paraId="433C03F9">
      <w:pPr>
        <w:keepNext w:val="0"/>
        <w:keepLines w:val="0"/>
        <w:widowControl/>
        <w:suppressLineNumbers w:val="0"/>
        <w:jc w:val="left"/>
        <w:rPr>
          <w:rFonts w:hint="eastAsia" w:ascii="楷体" w:hAnsi="楷体" w:eastAsia="楷体" w:cs="楷体"/>
          <w:color w:val="000000"/>
          <w:kern w:val="0"/>
          <w:sz w:val="22"/>
          <w:szCs w:val="22"/>
          <w:lang w:val="en-US" w:eastAsia="zh-CN" w:bidi="ar"/>
        </w:rPr>
      </w:pPr>
      <w:r>
        <w:rPr>
          <w:rFonts w:hint="eastAsia" w:ascii="楷体" w:hAnsi="楷体" w:eastAsia="楷体" w:cs="楷体"/>
          <w:color w:val="000000"/>
          <w:kern w:val="0"/>
          <w:sz w:val="22"/>
          <w:szCs w:val="22"/>
          <w:lang w:val="en-US" w:eastAsia="zh-CN" w:bidi="ar"/>
        </w:rPr>
        <w:t>交易时，</w:t>
      </w:r>
      <w:r>
        <w:rPr>
          <w:rFonts w:ascii="楷体" w:hAnsi="楷体" w:eastAsia="楷体" w:cs="楷体"/>
          <w:color w:val="000000"/>
          <w:kern w:val="0"/>
          <w:sz w:val="22"/>
          <w:szCs w:val="22"/>
          <w:lang w:val="en-US" w:eastAsia="zh-CN" w:bidi="ar"/>
        </w:rPr>
        <w:t>需控制长债及短债间的交易规模比例，从而使得整体基点价值（DV01）</w:t>
      </w:r>
      <w:r>
        <w:rPr>
          <w:rFonts w:hint="eastAsia" w:ascii="楷体" w:hAnsi="楷体" w:eastAsia="楷体" w:cs="楷体"/>
          <w:color w:val="000000"/>
          <w:kern w:val="0"/>
          <w:sz w:val="22"/>
          <w:szCs w:val="22"/>
          <w:lang w:val="en-US" w:eastAsia="zh-CN" w:bidi="ar"/>
        </w:rPr>
        <w:t>为0；</w:t>
      </w:r>
    </w:p>
    <w:p w14:paraId="297A4BD5">
      <w:pPr>
        <w:keepNext w:val="0"/>
        <w:keepLines w:val="0"/>
        <w:widowControl/>
        <w:suppressLineNumbers w:val="0"/>
        <w:jc w:val="left"/>
      </w:pPr>
      <w:r>
        <w:rPr>
          <w:rFonts w:ascii="楷体" w:hAnsi="楷体" w:eastAsia="楷体" w:cs="楷体"/>
          <w:color w:val="000000"/>
          <w:kern w:val="0"/>
          <w:sz w:val="22"/>
          <w:szCs w:val="22"/>
          <w:lang w:val="en-US" w:eastAsia="zh-CN" w:bidi="ar"/>
        </w:rPr>
        <w:t>持有期资本利得=买入品种久期×交易规模×（（期初买入品种收益率-期末</w:t>
      </w:r>
      <w:r>
        <w:rPr>
          <w:rFonts w:hint="eastAsia" w:ascii="楷体" w:hAnsi="楷体" w:eastAsia="楷体" w:cs="楷体"/>
          <w:color w:val="000000"/>
          <w:kern w:val="0"/>
          <w:sz w:val="22"/>
          <w:szCs w:val="22"/>
          <w:lang w:val="en-US" w:eastAsia="zh-CN" w:bidi="ar"/>
        </w:rPr>
        <w:t>收益率）+（期末收益率-期初卖出品种收益率））</w:t>
      </w:r>
    </w:p>
    <w:p w14:paraId="28B6C8B7">
      <w:pPr>
        <w:keepNext w:val="0"/>
        <w:keepLines w:val="0"/>
        <w:widowControl/>
        <w:suppressLineNumbers w:val="0"/>
        <w:jc w:val="left"/>
        <w:rPr>
          <w:rFonts w:hint="eastAsia" w:ascii="楷体" w:hAnsi="楷体" w:eastAsia="楷体" w:cs="楷体"/>
          <w:color w:val="000000"/>
          <w:kern w:val="0"/>
          <w:sz w:val="22"/>
          <w:szCs w:val="22"/>
          <w:lang w:val="en-US" w:eastAsia="zh-CN" w:bidi="ar"/>
        </w:rPr>
      </w:pPr>
      <w:r>
        <w:rPr>
          <w:rFonts w:hint="eastAsia" w:ascii="楷体" w:hAnsi="楷体" w:eastAsia="楷体" w:cs="楷体"/>
          <w:color w:val="000000"/>
          <w:kern w:val="0"/>
          <w:sz w:val="22"/>
          <w:szCs w:val="22"/>
          <w:lang w:val="en-US" w:eastAsia="zh-CN" w:bidi="ar"/>
        </w:rPr>
        <w:t>→</w:t>
      </w:r>
      <w:r>
        <w:rPr>
          <w:rFonts w:ascii="楷体" w:hAnsi="楷体" w:eastAsia="楷体" w:cs="楷体"/>
          <w:color w:val="000000"/>
          <w:kern w:val="0"/>
          <w:sz w:val="22"/>
          <w:szCs w:val="22"/>
          <w:lang w:val="en-US" w:eastAsia="zh-CN" w:bidi="ar"/>
        </w:rPr>
        <w:t>将（（期初买入品种收益率-期末收益率）+（期末收益率-期初卖出品</w:t>
      </w:r>
      <w:r>
        <w:rPr>
          <w:rFonts w:hint="eastAsia" w:ascii="楷体" w:hAnsi="楷体" w:eastAsia="楷体" w:cs="楷体"/>
          <w:color w:val="000000"/>
          <w:kern w:val="0"/>
          <w:sz w:val="22"/>
          <w:szCs w:val="22"/>
          <w:lang w:val="en-US" w:eastAsia="zh-CN" w:bidi="ar"/>
        </w:rPr>
        <w:t>种收益率）称为“持有期收益率盈利”；为了方便比较大小，在模型中对“持有期收益率盈利”乘以 100，并将其称为“持有期 bp 盈利”。</w:t>
      </w:r>
    </w:p>
    <w:p w14:paraId="24A459C2">
      <w:pPr>
        <w:keepNext w:val="0"/>
        <w:keepLines w:val="0"/>
        <w:widowControl/>
        <w:suppressLineNumbers w:val="0"/>
        <w:jc w:val="left"/>
        <w:rPr>
          <w:rFonts w:hint="eastAsia" w:ascii="楷体" w:hAnsi="楷体" w:eastAsia="楷体" w:cs="楷体"/>
          <w:color w:val="000000"/>
          <w:kern w:val="0"/>
          <w:sz w:val="22"/>
          <w:szCs w:val="22"/>
          <w:lang w:val="en-US" w:eastAsia="zh-CN" w:bidi="ar"/>
        </w:rPr>
      </w:pPr>
    </w:p>
    <w:p w14:paraId="0C0424F2">
      <w:pPr>
        <w:keepNext w:val="0"/>
        <w:keepLines w:val="0"/>
        <w:widowControl/>
        <w:suppressLineNumbers w:val="0"/>
        <w:jc w:val="left"/>
        <w:rPr>
          <w:rFonts w:hint="default" w:ascii="楷体" w:hAnsi="楷体" w:eastAsia="楷体" w:cs="楷体"/>
          <w:color w:val="000000"/>
          <w:kern w:val="0"/>
          <w:sz w:val="22"/>
          <w:szCs w:val="22"/>
          <w:lang w:val="en-US" w:eastAsia="zh-CN" w:bidi="ar"/>
        </w:rPr>
      </w:pPr>
      <w:r>
        <w:rPr>
          <w:rFonts w:hint="eastAsia" w:ascii="楷体" w:hAnsi="楷体" w:eastAsia="楷体" w:cs="楷体"/>
          <w:color w:val="000000"/>
          <w:kern w:val="0"/>
          <w:sz w:val="22"/>
          <w:szCs w:val="22"/>
          <w:lang w:val="en-US" w:eastAsia="zh-CN" w:bidi="ar"/>
        </w:rPr>
        <w:t>交易回测过程如下所示：（以做陡3Y-1Y曲线利差举例）</w:t>
      </w:r>
    </w:p>
    <w:p w14:paraId="688D0443">
      <w:pPr>
        <w:keepNext w:val="0"/>
        <w:keepLines w:val="0"/>
        <w:widowControl/>
        <w:suppressLineNumbers w:val="0"/>
        <w:jc w:val="left"/>
      </w:pPr>
      <w:bookmarkStart w:id="0" w:name="_GoBack"/>
      <w:r>
        <w:drawing>
          <wp:inline distT="0" distB="0" distL="114300" distR="114300">
            <wp:extent cx="4331970" cy="2740660"/>
            <wp:effectExtent l="0" t="0" r="11430" b="254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4"/>
                    <a:stretch>
                      <a:fillRect/>
                    </a:stretch>
                  </pic:blipFill>
                  <pic:spPr>
                    <a:xfrm>
                      <a:off x="0" y="0"/>
                      <a:ext cx="4331970" cy="2740660"/>
                    </a:xfrm>
                    <a:prstGeom prst="rect">
                      <a:avLst/>
                    </a:prstGeom>
                    <a:noFill/>
                    <a:ln>
                      <a:noFill/>
                    </a:ln>
                  </pic:spPr>
                </pic:pic>
              </a:graphicData>
            </a:graphic>
          </wp:inline>
        </w:drawing>
      </w:r>
      <w:bookmarkEnd w:id="0"/>
    </w:p>
    <w:p w14:paraId="1D89414E">
      <w:pPr>
        <w:keepNext w:val="0"/>
        <w:keepLines w:val="0"/>
        <w:widowControl/>
        <w:suppressLineNumbers w:val="0"/>
        <w:jc w:val="left"/>
        <w:rPr>
          <w:rFonts w:hint="eastAsia"/>
          <w:lang w:val="en-US" w:eastAsia="zh-CN"/>
        </w:rPr>
      </w:pPr>
    </w:p>
    <w:p w14:paraId="47F9CD9F">
      <w:pPr>
        <w:keepNext w:val="0"/>
        <w:keepLines w:val="0"/>
        <w:widowControl/>
        <w:suppressLineNumbers w:val="0"/>
        <w:jc w:val="left"/>
        <w:rPr>
          <w:rFonts w:hint="default" w:ascii="楷体" w:hAnsi="楷体" w:eastAsia="楷体" w:cs="楷体"/>
          <w:color w:val="000000"/>
          <w:kern w:val="0"/>
          <w:sz w:val="22"/>
          <w:szCs w:val="22"/>
          <w:lang w:val="en-US" w:eastAsia="zh-CN" w:bidi="ar"/>
        </w:rPr>
      </w:pPr>
      <w:r>
        <w:rPr>
          <w:rFonts w:hint="eastAsia" w:ascii="楷体" w:hAnsi="楷体" w:eastAsia="楷体" w:cs="楷体"/>
          <w:color w:val="000000"/>
          <w:kern w:val="0"/>
          <w:sz w:val="22"/>
          <w:szCs w:val="22"/>
          <w:lang w:val="en-US" w:eastAsia="zh-CN" w:bidi="ar"/>
        </w:rPr>
        <w:t>⑤回测结果</w:t>
      </w:r>
    </w:p>
    <w:p w14:paraId="0371ACB1">
      <w:pPr>
        <w:keepNext w:val="0"/>
        <w:keepLines w:val="0"/>
        <w:widowControl/>
        <w:suppressLineNumbers w:val="0"/>
        <w:jc w:val="left"/>
        <w:rPr>
          <w:rFonts w:hint="default" w:ascii="楷体" w:hAnsi="楷体" w:eastAsia="楷体" w:cs="楷体"/>
          <w:color w:val="000000"/>
          <w:kern w:val="0"/>
          <w:sz w:val="22"/>
          <w:szCs w:val="22"/>
          <w:lang w:val="en-US" w:eastAsia="zh-CN" w:bidi="ar"/>
        </w:rPr>
      </w:pPr>
    </w:p>
    <w:p w14:paraId="05E4E2CE">
      <w:pPr>
        <w:keepNext w:val="0"/>
        <w:keepLines w:val="0"/>
        <w:widowControl/>
        <w:suppressLineNumbers w:val="0"/>
        <w:jc w:val="left"/>
        <w:rPr>
          <w:rFonts w:hint="default" w:ascii="楷体" w:hAnsi="楷体" w:eastAsia="楷体" w:cs="楷体"/>
          <w:color w:val="000000"/>
          <w:kern w:val="0"/>
          <w:sz w:val="32"/>
          <w:szCs w:val="32"/>
          <w:lang w:val="en-US" w:eastAsia="zh-CN" w:bidi="ar"/>
        </w:rPr>
      </w:pPr>
      <w:r>
        <w:rPr>
          <w:rFonts w:ascii="楷体" w:hAnsi="楷体" w:eastAsia="楷体" w:cs="楷体"/>
          <w:i/>
          <w:iCs/>
          <w:color w:val="023F97"/>
          <w:kern w:val="0"/>
          <w:sz w:val="21"/>
          <w:szCs w:val="21"/>
          <w:lang w:val="en-US" w:eastAsia="zh-CN" w:bidi="ar"/>
        </w:rPr>
        <w:t>做陡收益率曲线策略下各期限利差的最优参数（单位：bp）</w:t>
      </w:r>
    </w:p>
    <w:tbl>
      <w:tblPr>
        <w:tblStyle w:val="2"/>
        <w:tblW w:w="860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280"/>
        <w:gridCol w:w="2660"/>
        <w:gridCol w:w="2660"/>
      </w:tblGrid>
      <w:tr w14:paraId="353E7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3280" w:type="dxa"/>
            <w:tcBorders>
              <w:top w:val="single" w:color="000000" w:sz="12" w:space="0"/>
              <w:left w:val="nil"/>
              <w:bottom w:val="single" w:color="000000" w:sz="4" w:space="0"/>
              <w:right w:val="nil"/>
              <w:tl2br w:val="nil"/>
            </w:tcBorders>
            <w:shd w:val="clear" w:color="auto" w:fill="FFFFFF"/>
            <w:noWrap/>
            <w:vAlign w:val="bottom"/>
          </w:tcPr>
          <w:p w14:paraId="0ABA0E67">
            <w:pPr>
              <w:rPr>
                <w:rFonts w:hint="default" w:ascii="Times New Roman" w:hAnsi="Times New Roman" w:eastAsia="楷体_GB2312" w:cs="Times New Roman"/>
                <w:b w:val="0"/>
                <w:i w:val="0"/>
                <w:iCs w:val="0"/>
                <w:color w:val="000000"/>
                <w:sz w:val="22"/>
                <w:szCs w:val="22"/>
                <w:u w:val="none"/>
              </w:rPr>
            </w:pPr>
          </w:p>
        </w:tc>
        <w:tc>
          <w:tcPr>
            <w:tcW w:w="2660" w:type="dxa"/>
            <w:tcBorders>
              <w:top w:val="single" w:color="000000" w:sz="12" w:space="0"/>
              <w:left w:val="nil"/>
              <w:bottom w:val="single" w:color="000000" w:sz="4" w:space="0"/>
              <w:right w:val="nil"/>
            </w:tcBorders>
            <w:shd w:val="clear" w:color="auto" w:fill="FFFFFF"/>
            <w:noWrap/>
            <w:vAlign w:val="bottom"/>
          </w:tcPr>
          <w:p w14:paraId="5340C246">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国债期限利差（3Y-1Y）</w:t>
            </w:r>
          </w:p>
        </w:tc>
        <w:tc>
          <w:tcPr>
            <w:tcW w:w="2660" w:type="dxa"/>
            <w:tcBorders>
              <w:top w:val="single" w:color="000000" w:sz="12" w:space="0"/>
              <w:left w:val="nil"/>
              <w:bottom w:val="single" w:color="000000" w:sz="4" w:space="0"/>
              <w:right w:val="nil"/>
            </w:tcBorders>
            <w:shd w:val="clear" w:color="auto" w:fill="FFFFFF"/>
            <w:noWrap/>
            <w:vAlign w:val="bottom"/>
          </w:tcPr>
          <w:p w14:paraId="07A3F4B1">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国债期限利差（5Y-1Y）</w:t>
            </w:r>
          </w:p>
        </w:tc>
      </w:tr>
      <w:tr w14:paraId="75DE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single" w:color="000000" w:sz="4" w:space="0"/>
              <w:left w:val="nil"/>
              <w:bottom w:val="nil"/>
              <w:right w:val="nil"/>
            </w:tcBorders>
            <w:shd w:val="clear" w:color="auto" w:fill="FFFFFF"/>
            <w:noWrap/>
            <w:vAlign w:val="bottom"/>
          </w:tcPr>
          <w:p w14:paraId="05262A6B">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建仓分位数D1</w:t>
            </w:r>
          </w:p>
        </w:tc>
        <w:tc>
          <w:tcPr>
            <w:tcW w:w="0" w:type="auto"/>
            <w:tcBorders>
              <w:top w:val="single" w:color="000000" w:sz="4" w:space="0"/>
              <w:left w:val="nil"/>
              <w:bottom w:val="nil"/>
              <w:right w:val="nil"/>
            </w:tcBorders>
            <w:shd w:val="clear" w:color="auto" w:fill="FFFFFF"/>
            <w:noWrap/>
            <w:vAlign w:val="bottom"/>
          </w:tcPr>
          <w:p w14:paraId="5CE58A5B">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41%</w:t>
            </w:r>
          </w:p>
        </w:tc>
        <w:tc>
          <w:tcPr>
            <w:tcW w:w="0" w:type="auto"/>
            <w:tcBorders>
              <w:top w:val="single" w:color="000000" w:sz="4" w:space="0"/>
              <w:left w:val="nil"/>
              <w:bottom w:val="nil"/>
              <w:right w:val="nil"/>
            </w:tcBorders>
            <w:shd w:val="clear" w:color="auto" w:fill="FFFFFF"/>
            <w:noWrap/>
            <w:vAlign w:val="bottom"/>
          </w:tcPr>
          <w:p w14:paraId="2E91C163">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42%</w:t>
            </w:r>
          </w:p>
        </w:tc>
      </w:tr>
      <w:tr w14:paraId="1B41DF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FFFFFF"/>
            <w:noWrap/>
            <w:vAlign w:val="bottom"/>
          </w:tcPr>
          <w:p w14:paraId="1BBBC1C6">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平仓分位数D2</w:t>
            </w:r>
          </w:p>
        </w:tc>
        <w:tc>
          <w:tcPr>
            <w:tcW w:w="0" w:type="auto"/>
            <w:tcBorders>
              <w:top w:val="nil"/>
              <w:left w:val="nil"/>
              <w:bottom w:val="nil"/>
              <w:right w:val="nil"/>
            </w:tcBorders>
            <w:shd w:val="clear" w:color="auto" w:fill="FFFFFF"/>
            <w:noWrap/>
            <w:vAlign w:val="bottom"/>
          </w:tcPr>
          <w:p w14:paraId="64116B38">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61%</w:t>
            </w:r>
          </w:p>
        </w:tc>
        <w:tc>
          <w:tcPr>
            <w:tcW w:w="0" w:type="auto"/>
            <w:tcBorders>
              <w:top w:val="nil"/>
              <w:left w:val="nil"/>
              <w:bottom w:val="nil"/>
              <w:right w:val="nil"/>
            </w:tcBorders>
            <w:shd w:val="clear" w:color="auto" w:fill="FFFFFF"/>
            <w:noWrap/>
            <w:vAlign w:val="bottom"/>
          </w:tcPr>
          <w:p w14:paraId="2AEE8466">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62%</w:t>
            </w:r>
          </w:p>
        </w:tc>
      </w:tr>
      <w:tr w14:paraId="47E25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FFFFFF"/>
            <w:noWrap/>
            <w:vAlign w:val="bottom"/>
          </w:tcPr>
          <w:p w14:paraId="61171FB8">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持有期总收益</w:t>
            </w:r>
          </w:p>
        </w:tc>
        <w:tc>
          <w:tcPr>
            <w:tcW w:w="0" w:type="auto"/>
            <w:tcBorders>
              <w:top w:val="nil"/>
              <w:left w:val="nil"/>
              <w:bottom w:val="nil"/>
              <w:right w:val="nil"/>
            </w:tcBorders>
            <w:shd w:val="clear" w:color="auto" w:fill="FFFFFF"/>
            <w:noWrap/>
            <w:vAlign w:val="bottom"/>
          </w:tcPr>
          <w:p w14:paraId="4C9725C5">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141bp</w:t>
            </w:r>
          </w:p>
        </w:tc>
        <w:tc>
          <w:tcPr>
            <w:tcW w:w="0" w:type="auto"/>
            <w:tcBorders>
              <w:top w:val="nil"/>
              <w:left w:val="nil"/>
              <w:bottom w:val="nil"/>
              <w:right w:val="nil"/>
            </w:tcBorders>
            <w:shd w:val="clear" w:color="auto" w:fill="FFFFFF"/>
            <w:noWrap/>
            <w:vAlign w:val="bottom"/>
          </w:tcPr>
          <w:p w14:paraId="721D4F20">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189bp</w:t>
            </w:r>
          </w:p>
        </w:tc>
      </w:tr>
      <w:tr w14:paraId="29888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FFFFFF"/>
            <w:noWrap/>
            <w:vAlign w:val="bottom"/>
          </w:tcPr>
          <w:p w14:paraId="447EBDF8">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平均每笔收益</w:t>
            </w:r>
          </w:p>
        </w:tc>
        <w:tc>
          <w:tcPr>
            <w:tcW w:w="0" w:type="auto"/>
            <w:tcBorders>
              <w:top w:val="nil"/>
              <w:left w:val="nil"/>
              <w:bottom w:val="nil"/>
              <w:right w:val="nil"/>
            </w:tcBorders>
            <w:shd w:val="clear" w:color="auto" w:fill="FFFFFF"/>
            <w:noWrap/>
            <w:vAlign w:val="bottom"/>
          </w:tcPr>
          <w:p w14:paraId="1E8AF483">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1.31bp</w:t>
            </w:r>
          </w:p>
        </w:tc>
        <w:tc>
          <w:tcPr>
            <w:tcW w:w="0" w:type="auto"/>
            <w:tcBorders>
              <w:top w:val="nil"/>
              <w:left w:val="nil"/>
              <w:bottom w:val="nil"/>
              <w:right w:val="nil"/>
            </w:tcBorders>
            <w:shd w:val="clear" w:color="auto" w:fill="FFFFFF"/>
            <w:noWrap/>
            <w:vAlign w:val="bottom"/>
          </w:tcPr>
          <w:p w14:paraId="6120E62F">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1.52bp</w:t>
            </w:r>
          </w:p>
        </w:tc>
      </w:tr>
      <w:tr w14:paraId="0646E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tcBorders>
              <w:top w:val="nil"/>
              <w:left w:val="nil"/>
              <w:bottom w:val="nil"/>
              <w:right w:val="nil"/>
            </w:tcBorders>
            <w:shd w:val="clear" w:color="auto" w:fill="FFFFFF"/>
            <w:noWrap/>
            <w:vAlign w:val="bottom"/>
          </w:tcPr>
          <w:p w14:paraId="4212E3B0">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胜率</w:t>
            </w:r>
          </w:p>
        </w:tc>
        <w:tc>
          <w:tcPr>
            <w:tcW w:w="0" w:type="auto"/>
            <w:tcBorders>
              <w:top w:val="nil"/>
              <w:left w:val="nil"/>
              <w:bottom w:val="nil"/>
              <w:right w:val="nil"/>
            </w:tcBorders>
            <w:shd w:val="clear" w:color="auto" w:fill="FFFFFF"/>
            <w:noWrap/>
            <w:vAlign w:val="bottom"/>
          </w:tcPr>
          <w:p w14:paraId="16B89E0F">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55.56%</w:t>
            </w:r>
          </w:p>
        </w:tc>
        <w:tc>
          <w:tcPr>
            <w:tcW w:w="0" w:type="auto"/>
            <w:tcBorders>
              <w:top w:val="nil"/>
              <w:left w:val="nil"/>
              <w:bottom w:val="nil"/>
              <w:right w:val="nil"/>
            </w:tcBorders>
            <w:shd w:val="clear" w:color="auto" w:fill="FFFFFF"/>
            <w:noWrap/>
            <w:vAlign w:val="bottom"/>
          </w:tcPr>
          <w:p w14:paraId="1429C439">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55.65%</w:t>
            </w:r>
          </w:p>
        </w:tc>
      </w:tr>
      <w:tr w14:paraId="6D7FFC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tcBorders>
              <w:top w:val="nil"/>
              <w:left w:val="nil"/>
              <w:bottom w:val="single" w:color="000000" w:sz="12" w:space="0"/>
              <w:right w:val="nil"/>
            </w:tcBorders>
            <w:shd w:val="clear" w:color="auto" w:fill="FFFFFF"/>
            <w:noWrap/>
            <w:vAlign w:val="bottom"/>
          </w:tcPr>
          <w:p w14:paraId="4E2A14F7">
            <w:pPr>
              <w:keepNext w:val="0"/>
              <w:keepLines w:val="0"/>
              <w:widowControl/>
              <w:suppressLineNumbers w:val="0"/>
              <w:jc w:val="lef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交易次数</w:t>
            </w:r>
          </w:p>
        </w:tc>
        <w:tc>
          <w:tcPr>
            <w:tcW w:w="0" w:type="auto"/>
            <w:tcBorders>
              <w:top w:val="nil"/>
              <w:left w:val="nil"/>
              <w:bottom w:val="single" w:color="000000" w:sz="12" w:space="0"/>
              <w:right w:val="nil"/>
            </w:tcBorders>
            <w:shd w:val="clear" w:color="auto" w:fill="FFFFFF"/>
            <w:noWrap/>
            <w:vAlign w:val="bottom"/>
          </w:tcPr>
          <w:p w14:paraId="1595E783">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108</w:t>
            </w:r>
          </w:p>
        </w:tc>
        <w:tc>
          <w:tcPr>
            <w:tcW w:w="0" w:type="auto"/>
            <w:tcBorders>
              <w:top w:val="nil"/>
              <w:left w:val="nil"/>
              <w:bottom w:val="single" w:color="000000" w:sz="12" w:space="0"/>
              <w:right w:val="nil"/>
            </w:tcBorders>
            <w:shd w:val="clear" w:color="auto" w:fill="FFFFFF"/>
            <w:noWrap/>
            <w:vAlign w:val="bottom"/>
          </w:tcPr>
          <w:p w14:paraId="6C93B604">
            <w:pPr>
              <w:keepNext w:val="0"/>
              <w:keepLines w:val="0"/>
              <w:widowControl/>
              <w:suppressLineNumbers w:val="0"/>
              <w:jc w:val="right"/>
              <w:textAlignment w:val="bottom"/>
              <w:rPr>
                <w:rFonts w:hint="default" w:ascii="Times New Roman" w:hAnsi="Times New Roman" w:eastAsia="楷体_GB2312" w:cs="Times New Roman"/>
                <w:b w:val="0"/>
                <w:i w:val="0"/>
                <w:iCs w:val="0"/>
                <w:color w:val="000000"/>
                <w:sz w:val="22"/>
                <w:szCs w:val="22"/>
                <w:u w:val="none"/>
              </w:rPr>
            </w:pPr>
            <w:r>
              <w:rPr>
                <w:rFonts w:hint="default" w:ascii="Times New Roman" w:hAnsi="Times New Roman" w:eastAsia="楷体_GB2312" w:cs="Times New Roman"/>
                <w:b w:val="0"/>
                <w:i w:val="0"/>
                <w:iCs w:val="0"/>
                <w:color w:val="000000"/>
                <w:kern w:val="0"/>
                <w:sz w:val="22"/>
                <w:szCs w:val="22"/>
                <w:u w:val="none"/>
                <w:lang w:val="en-US" w:eastAsia="zh-CN" w:bidi="ar"/>
              </w:rPr>
              <w:t>124</w:t>
            </w:r>
          </w:p>
        </w:tc>
      </w:tr>
    </w:tbl>
    <w:p w14:paraId="179EBF80">
      <w:pPr>
        <w:keepNext w:val="0"/>
        <w:keepLines w:val="0"/>
        <w:widowControl/>
        <w:suppressLineNumbers w:val="0"/>
        <w:jc w:val="left"/>
        <w:rPr>
          <w:rFonts w:hint="default"/>
          <w:lang w:val="en-US" w:eastAsia="zh-CN"/>
        </w:rPr>
      </w:pPr>
    </w:p>
    <w:p w14:paraId="0EB569C5">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5E14B721">
      <w:pPr>
        <w:keepNext w:val="0"/>
        <w:keepLines w:val="0"/>
        <w:widowControl/>
        <w:suppressLineNumbers w:val="0"/>
        <w:jc w:val="left"/>
        <w:rPr>
          <w:rFonts w:hint="default" w:ascii="Times New Roman" w:hAnsi="Times New Roman" w:eastAsia="楷体_GB2312" w:cs="Times New Roman"/>
          <w:color w:val="auto"/>
          <w:u w:val="none"/>
          <w:lang w:val="en-US" w:eastAsia="zh-CN"/>
        </w:rPr>
      </w:pPr>
      <w:r>
        <w:rPr>
          <w:rFonts w:ascii="楷体" w:hAnsi="楷体" w:eastAsia="楷体" w:cs="楷体"/>
          <w:i/>
          <w:iCs/>
          <w:color w:val="023F97"/>
          <w:kern w:val="0"/>
          <w:sz w:val="21"/>
          <w:szCs w:val="21"/>
          <w:lang w:val="en-US" w:eastAsia="zh-CN" w:bidi="ar"/>
        </w:rPr>
        <w:t>做</w:t>
      </w:r>
      <w:r>
        <w:rPr>
          <w:rFonts w:hint="eastAsia" w:ascii="楷体" w:hAnsi="楷体" w:eastAsia="楷体" w:cs="楷体"/>
          <w:i/>
          <w:iCs/>
          <w:color w:val="023F97"/>
          <w:kern w:val="0"/>
          <w:sz w:val="21"/>
          <w:szCs w:val="21"/>
          <w:lang w:val="en-US" w:eastAsia="zh-CN" w:bidi="ar"/>
        </w:rPr>
        <w:t>平</w:t>
      </w:r>
      <w:r>
        <w:rPr>
          <w:rFonts w:ascii="楷体" w:hAnsi="楷体" w:eastAsia="楷体" w:cs="楷体"/>
          <w:i/>
          <w:iCs/>
          <w:color w:val="023F97"/>
          <w:kern w:val="0"/>
          <w:sz w:val="21"/>
          <w:szCs w:val="21"/>
          <w:lang w:val="en-US" w:eastAsia="zh-CN" w:bidi="ar"/>
        </w:rPr>
        <w:t>收益率曲线策略下各期限利差的最优参数（单位：bp）</w:t>
      </w:r>
    </w:p>
    <w:tbl>
      <w:tblPr>
        <w:tblStyle w:val="2"/>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89"/>
        <w:gridCol w:w="3265"/>
        <w:gridCol w:w="3265"/>
      </w:tblGrid>
      <w:tr w14:paraId="33C3DB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0" w:hRule="atLeast"/>
        </w:trPr>
        <w:tc>
          <w:tcPr>
            <w:tcW w:w="1167" w:type="pct"/>
            <w:tcBorders>
              <w:top w:val="single" w:color="000000" w:sz="12" w:space="0"/>
              <w:left w:val="nil"/>
              <w:bottom w:val="single" w:color="000000" w:sz="8" w:space="0"/>
              <w:right w:val="nil"/>
            </w:tcBorders>
            <w:shd w:val="clear" w:color="auto" w:fill="FFFFFF"/>
            <w:noWrap/>
            <w:vAlign w:val="bottom"/>
          </w:tcPr>
          <w:p w14:paraId="455EDB0C">
            <w:pPr>
              <w:rPr>
                <w:rFonts w:hint="eastAsia" w:ascii="宋体" w:hAnsi="宋体" w:eastAsia="宋体" w:cs="宋体"/>
                <w:i w:val="0"/>
                <w:iCs w:val="0"/>
                <w:color w:val="000000"/>
                <w:sz w:val="22"/>
                <w:szCs w:val="22"/>
                <w:u w:val="none"/>
              </w:rPr>
            </w:pPr>
          </w:p>
        </w:tc>
        <w:tc>
          <w:tcPr>
            <w:tcW w:w="1916" w:type="pct"/>
            <w:tcBorders>
              <w:top w:val="single" w:color="000000" w:sz="12" w:space="0"/>
              <w:left w:val="nil"/>
              <w:bottom w:val="single" w:color="000000" w:sz="8" w:space="0"/>
              <w:right w:val="nil"/>
            </w:tcBorders>
            <w:shd w:val="clear" w:color="auto" w:fill="FFFFFF"/>
            <w:noWrap/>
            <w:vAlign w:val="bottom"/>
          </w:tcPr>
          <w:p w14:paraId="165D1F2D">
            <w:pPr>
              <w:keepNext w:val="0"/>
              <w:keepLines w:val="0"/>
              <w:widowControl/>
              <w:suppressLineNumbers w:val="0"/>
              <w:jc w:val="left"/>
              <w:textAlignment w:val="bottom"/>
              <w:rPr>
                <w:rFonts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国债期限利差（</w:t>
            </w:r>
            <w:r>
              <w:rPr>
                <w:rStyle w:val="9"/>
                <w:rFonts w:eastAsia="楷体_GB2312"/>
                <w:lang w:val="en-US" w:eastAsia="zh-CN" w:bidi="ar"/>
              </w:rPr>
              <w:t>3Y-1Y</w:t>
            </w:r>
            <w:r>
              <w:rPr>
                <w:rFonts w:hint="eastAsia" w:ascii="楷体_GB2312" w:hAnsi="宋体" w:eastAsia="楷体_GB2312" w:cs="楷体_GB2312"/>
                <w:i w:val="0"/>
                <w:iCs w:val="0"/>
                <w:color w:val="000000"/>
                <w:kern w:val="0"/>
                <w:sz w:val="22"/>
                <w:szCs w:val="22"/>
                <w:u w:val="none"/>
                <w:lang w:val="en-US" w:eastAsia="zh-CN" w:bidi="ar"/>
              </w:rPr>
              <w:t>）</w:t>
            </w:r>
          </w:p>
        </w:tc>
        <w:tc>
          <w:tcPr>
            <w:tcW w:w="1916" w:type="pct"/>
            <w:tcBorders>
              <w:top w:val="single" w:color="000000" w:sz="12" w:space="0"/>
              <w:left w:val="nil"/>
              <w:bottom w:val="single" w:color="000000" w:sz="8" w:space="0"/>
              <w:right w:val="nil"/>
            </w:tcBorders>
            <w:shd w:val="clear" w:color="auto" w:fill="FFFFFF"/>
            <w:noWrap/>
            <w:vAlign w:val="bottom"/>
          </w:tcPr>
          <w:p w14:paraId="2074CA6F">
            <w:pPr>
              <w:keepNext w:val="0"/>
              <w:keepLines w:val="0"/>
              <w:widowControl/>
              <w:suppressLineNumbers w:val="0"/>
              <w:jc w:val="left"/>
              <w:textAlignment w:val="bottom"/>
              <w:rPr>
                <w:rFonts w:hint="eastAsia"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国债期限利差（</w:t>
            </w:r>
            <w:r>
              <w:rPr>
                <w:rStyle w:val="9"/>
                <w:rFonts w:eastAsia="楷体_GB2312"/>
                <w:lang w:val="en-US" w:eastAsia="zh-CN" w:bidi="ar"/>
              </w:rPr>
              <w:t>5Y-1Y</w:t>
            </w:r>
            <w:r>
              <w:rPr>
                <w:rFonts w:hint="eastAsia" w:ascii="楷体_GB2312" w:hAnsi="宋体" w:eastAsia="楷体_GB2312" w:cs="楷体_GB2312"/>
                <w:i w:val="0"/>
                <w:iCs w:val="0"/>
                <w:color w:val="000000"/>
                <w:kern w:val="0"/>
                <w:sz w:val="22"/>
                <w:szCs w:val="22"/>
                <w:u w:val="none"/>
                <w:lang w:val="en-US" w:eastAsia="zh-CN" w:bidi="ar"/>
              </w:rPr>
              <w:t>）</w:t>
            </w:r>
          </w:p>
        </w:tc>
      </w:tr>
      <w:tr w14:paraId="0CBCF0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67" w:type="pct"/>
            <w:tcBorders>
              <w:top w:val="nil"/>
              <w:left w:val="nil"/>
              <w:bottom w:val="nil"/>
              <w:right w:val="nil"/>
            </w:tcBorders>
            <w:shd w:val="clear" w:color="auto" w:fill="FFFFFF"/>
            <w:noWrap/>
            <w:vAlign w:val="bottom"/>
          </w:tcPr>
          <w:p w14:paraId="274ACC5A">
            <w:pPr>
              <w:keepNext w:val="0"/>
              <w:keepLines w:val="0"/>
              <w:widowControl/>
              <w:suppressLineNumbers w:val="0"/>
              <w:jc w:val="left"/>
              <w:textAlignment w:val="bottom"/>
              <w:rPr>
                <w:rFonts w:hint="eastAsia"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建仓分位数</w:t>
            </w:r>
            <w:r>
              <w:rPr>
                <w:rStyle w:val="9"/>
                <w:rFonts w:eastAsia="楷体_GB2312"/>
                <w:lang w:val="en-US" w:eastAsia="zh-CN" w:bidi="ar"/>
              </w:rPr>
              <w:t>D1</w:t>
            </w:r>
          </w:p>
        </w:tc>
        <w:tc>
          <w:tcPr>
            <w:tcW w:w="1916" w:type="pct"/>
            <w:tcBorders>
              <w:top w:val="nil"/>
              <w:left w:val="nil"/>
              <w:bottom w:val="nil"/>
              <w:right w:val="nil"/>
            </w:tcBorders>
            <w:shd w:val="clear" w:color="auto" w:fill="FFFFFF"/>
            <w:noWrap/>
            <w:vAlign w:val="bottom"/>
          </w:tcPr>
          <w:p w14:paraId="5C76CBA9">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eastAsia" w:ascii="Times New Roman" w:hAnsi="Times New Roman" w:eastAsia="宋体" w:cs="Times New Roman"/>
                <w:i w:val="0"/>
                <w:iCs w:val="0"/>
                <w:color w:val="000000"/>
                <w:kern w:val="0"/>
                <w:sz w:val="22"/>
                <w:szCs w:val="22"/>
                <w:u w:val="none"/>
                <w:lang w:val="en-US" w:eastAsia="zh-CN" w:bidi="ar"/>
              </w:rPr>
              <w:t>6</w:t>
            </w:r>
            <w:r>
              <w:rPr>
                <w:rFonts w:hint="default" w:ascii="Times New Roman" w:hAnsi="Times New Roman" w:eastAsia="宋体" w:cs="Times New Roman"/>
                <w:i w:val="0"/>
                <w:iCs w:val="0"/>
                <w:color w:val="000000"/>
                <w:kern w:val="0"/>
                <w:sz w:val="22"/>
                <w:szCs w:val="22"/>
                <w:u w:val="none"/>
                <w:lang w:val="en-US" w:eastAsia="zh-CN" w:bidi="ar"/>
              </w:rPr>
              <w:t>0%</w:t>
            </w:r>
          </w:p>
        </w:tc>
        <w:tc>
          <w:tcPr>
            <w:tcW w:w="1916" w:type="pct"/>
            <w:tcBorders>
              <w:top w:val="nil"/>
              <w:left w:val="nil"/>
              <w:bottom w:val="nil"/>
              <w:right w:val="nil"/>
            </w:tcBorders>
            <w:shd w:val="clear" w:color="auto" w:fill="FFFFFF"/>
            <w:noWrap/>
            <w:vAlign w:val="bottom"/>
          </w:tcPr>
          <w:p w14:paraId="0BA8726D">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eastAsia" w:ascii="Times New Roman" w:hAnsi="Times New Roman" w:eastAsia="宋体" w:cs="Times New Roman"/>
                <w:i w:val="0"/>
                <w:iCs w:val="0"/>
                <w:color w:val="000000"/>
                <w:kern w:val="0"/>
                <w:sz w:val="22"/>
                <w:szCs w:val="22"/>
                <w:u w:val="none"/>
                <w:lang w:val="en-US" w:eastAsia="zh-CN" w:bidi="ar"/>
              </w:rPr>
              <w:t>5</w:t>
            </w:r>
            <w:r>
              <w:rPr>
                <w:rFonts w:hint="default" w:ascii="Times New Roman" w:hAnsi="Times New Roman" w:eastAsia="宋体" w:cs="Times New Roman"/>
                <w:i w:val="0"/>
                <w:iCs w:val="0"/>
                <w:color w:val="000000"/>
                <w:kern w:val="0"/>
                <w:sz w:val="22"/>
                <w:szCs w:val="22"/>
                <w:u w:val="none"/>
                <w:lang w:val="en-US" w:eastAsia="zh-CN" w:bidi="ar"/>
              </w:rPr>
              <w:t>8%</w:t>
            </w:r>
          </w:p>
        </w:tc>
      </w:tr>
      <w:tr w14:paraId="691C2F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67" w:type="pct"/>
            <w:tcBorders>
              <w:top w:val="nil"/>
              <w:left w:val="nil"/>
              <w:bottom w:val="nil"/>
              <w:right w:val="nil"/>
            </w:tcBorders>
            <w:shd w:val="clear" w:color="auto" w:fill="FFFFFF"/>
            <w:noWrap/>
            <w:vAlign w:val="bottom"/>
          </w:tcPr>
          <w:p w14:paraId="3BEBDF4A">
            <w:pPr>
              <w:keepNext w:val="0"/>
              <w:keepLines w:val="0"/>
              <w:widowControl/>
              <w:suppressLineNumbers w:val="0"/>
              <w:jc w:val="left"/>
              <w:textAlignment w:val="bottom"/>
              <w:rPr>
                <w:rFonts w:hint="eastAsia"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平仓分位数</w:t>
            </w:r>
            <w:r>
              <w:rPr>
                <w:rStyle w:val="9"/>
                <w:rFonts w:eastAsia="楷体_GB2312"/>
                <w:lang w:val="en-US" w:eastAsia="zh-CN" w:bidi="ar"/>
              </w:rPr>
              <w:t>D2</w:t>
            </w:r>
          </w:p>
        </w:tc>
        <w:tc>
          <w:tcPr>
            <w:tcW w:w="1916" w:type="pct"/>
            <w:tcBorders>
              <w:top w:val="nil"/>
              <w:left w:val="nil"/>
              <w:bottom w:val="nil"/>
              <w:right w:val="nil"/>
            </w:tcBorders>
            <w:shd w:val="clear" w:color="auto" w:fill="FFFFFF"/>
            <w:noWrap/>
            <w:vAlign w:val="bottom"/>
          </w:tcPr>
          <w:p w14:paraId="4CA7507F">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eastAsia" w:ascii="Times New Roman" w:hAnsi="Times New Roman" w:eastAsia="宋体" w:cs="Times New Roman"/>
                <w:i w:val="0"/>
                <w:iCs w:val="0"/>
                <w:color w:val="000000"/>
                <w:kern w:val="0"/>
                <w:sz w:val="22"/>
                <w:szCs w:val="22"/>
                <w:u w:val="none"/>
                <w:lang w:val="en-US" w:eastAsia="zh-CN" w:bidi="ar"/>
              </w:rPr>
              <w:t>4</w:t>
            </w:r>
            <w:r>
              <w:rPr>
                <w:rFonts w:hint="default" w:ascii="Times New Roman" w:hAnsi="Times New Roman" w:eastAsia="宋体" w:cs="Times New Roman"/>
                <w:i w:val="0"/>
                <w:iCs w:val="0"/>
                <w:color w:val="000000"/>
                <w:kern w:val="0"/>
                <w:sz w:val="22"/>
                <w:szCs w:val="22"/>
                <w:u w:val="none"/>
                <w:lang w:val="en-US" w:eastAsia="zh-CN" w:bidi="ar"/>
              </w:rPr>
              <w:t>0%</w:t>
            </w:r>
          </w:p>
        </w:tc>
        <w:tc>
          <w:tcPr>
            <w:tcW w:w="1916" w:type="pct"/>
            <w:tcBorders>
              <w:top w:val="nil"/>
              <w:left w:val="nil"/>
              <w:bottom w:val="nil"/>
              <w:right w:val="nil"/>
            </w:tcBorders>
            <w:shd w:val="clear" w:color="auto" w:fill="FFFFFF"/>
            <w:noWrap/>
            <w:vAlign w:val="bottom"/>
          </w:tcPr>
          <w:p w14:paraId="567259EA">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eastAsia" w:ascii="Times New Roman" w:hAnsi="Times New Roman" w:eastAsia="宋体" w:cs="Times New Roman"/>
                <w:i w:val="0"/>
                <w:iCs w:val="0"/>
                <w:color w:val="000000"/>
                <w:kern w:val="0"/>
                <w:sz w:val="22"/>
                <w:szCs w:val="22"/>
                <w:u w:val="none"/>
                <w:lang w:val="en-US" w:eastAsia="zh-CN" w:bidi="ar"/>
              </w:rPr>
              <w:t>3</w:t>
            </w:r>
            <w:r>
              <w:rPr>
                <w:rFonts w:hint="default" w:ascii="Times New Roman" w:hAnsi="Times New Roman" w:eastAsia="宋体" w:cs="Times New Roman"/>
                <w:i w:val="0"/>
                <w:iCs w:val="0"/>
                <w:color w:val="000000"/>
                <w:kern w:val="0"/>
                <w:sz w:val="22"/>
                <w:szCs w:val="22"/>
                <w:u w:val="none"/>
                <w:lang w:val="en-US" w:eastAsia="zh-CN" w:bidi="ar"/>
              </w:rPr>
              <w:t>8%</w:t>
            </w:r>
          </w:p>
        </w:tc>
      </w:tr>
      <w:tr w14:paraId="0D5D8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167" w:type="pct"/>
            <w:tcBorders>
              <w:top w:val="nil"/>
              <w:left w:val="nil"/>
              <w:bottom w:val="nil"/>
              <w:right w:val="nil"/>
            </w:tcBorders>
            <w:shd w:val="clear" w:color="auto" w:fill="FFFFFF"/>
            <w:noWrap/>
            <w:vAlign w:val="bottom"/>
          </w:tcPr>
          <w:p w14:paraId="376C22BA">
            <w:pPr>
              <w:keepNext w:val="0"/>
              <w:keepLines w:val="0"/>
              <w:widowControl/>
              <w:suppressLineNumbers w:val="0"/>
              <w:jc w:val="left"/>
              <w:textAlignment w:val="bottom"/>
              <w:rPr>
                <w:rFonts w:hint="eastAsia"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持有期总收益</w:t>
            </w:r>
          </w:p>
        </w:tc>
        <w:tc>
          <w:tcPr>
            <w:tcW w:w="1916" w:type="pct"/>
            <w:tcBorders>
              <w:top w:val="nil"/>
              <w:left w:val="nil"/>
              <w:bottom w:val="nil"/>
              <w:right w:val="nil"/>
            </w:tcBorders>
            <w:shd w:val="clear" w:color="auto" w:fill="FFFFFF"/>
            <w:noWrap/>
            <w:vAlign w:val="bottom"/>
          </w:tcPr>
          <w:p w14:paraId="130AF81B">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167bp</w:t>
            </w:r>
          </w:p>
        </w:tc>
        <w:tc>
          <w:tcPr>
            <w:tcW w:w="1916" w:type="pct"/>
            <w:tcBorders>
              <w:top w:val="nil"/>
              <w:left w:val="nil"/>
              <w:bottom w:val="nil"/>
              <w:right w:val="nil"/>
            </w:tcBorders>
            <w:shd w:val="clear" w:color="auto" w:fill="FFFFFF"/>
            <w:noWrap/>
            <w:vAlign w:val="bottom"/>
          </w:tcPr>
          <w:p w14:paraId="169264C8">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211bp</w:t>
            </w:r>
          </w:p>
        </w:tc>
      </w:tr>
      <w:tr w14:paraId="08C1F3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67" w:type="pct"/>
            <w:tcBorders>
              <w:top w:val="nil"/>
              <w:left w:val="nil"/>
              <w:bottom w:val="nil"/>
              <w:right w:val="nil"/>
            </w:tcBorders>
            <w:shd w:val="clear" w:color="auto" w:fill="FFFFFF"/>
            <w:noWrap/>
            <w:vAlign w:val="bottom"/>
          </w:tcPr>
          <w:p w14:paraId="5376E85E">
            <w:pPr>
              <w:keepNext w:val="0"/>
              <w:keepLines w:val="0"/>
              <w:widowControl/>
              <w:suppressLineNumbers w:val="0"/>
              <w:jc w:val="left"/>
              <w:textAlignment w:val="bottom"/>
              <w:rPr>
                <w:rFonts w:hint="eastAsia"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平均每笔收益</w:t>
            </w:r>
          </w:p>
        </w:tc>
        <w:tc>
          <w:tcPr>
            <w:tcW w:w="1916" w:type="pct"/>
            <w:tcBorders>
              <w:top w:val="nil"/>
              <w:left w:val="nil"/>
              <w:bottom w:val="nil"/>
              <w:right w:val="nil"/>
            </w:tcBorders>
            <w:shd w:val="clear" w:color="auto" w:fill="FFFFFF"/>
            <w:noWrap/>
            <w:vAlign w:val="bottom"/>
          </w:tcPr>
          <w:p w14:paraId="278FB37B">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1.62bp</w:t>
            </w:r>
          </w:p>
        </w:tc>
        <w:tc>
          <w:tcPr>
            <w:tcW w:w="1916" w:type="pct"/>
            <w:tcBorders>
              <w:top w:val="nil"/>
              <w:left w:val="nil"/>
              <w:bottom w:val="nil"/>
              <w:right w:val="nil"/>
            </w:tcBorders>
            <w:shd w:val="clear" w:color="auto" w:fill="FFFFFF"/>
            <w:noWrap/>
            <w:vAlign w:val="bottom"/>
          </w:tcPr>
          <w:p w14:paraId="197B2B22">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1.87bp</w:t>
            </w:r>
          </w:p>
        </w:tc>
      </w:tr>
      <w:tr w14:paraId="33726D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167" w:type="pct"/>
            <w:tcBorders>
              <w:top w:val="nil"/>
              <w:left w:val="nil"/>
              <w:bottom w:val="nil"/>
              <w:right w:val="nil"/>
            </w:tcBorders>
            <w:shd w:val="clear" w:color="auto" w:fill="FFFFFF"/>
            <w:noWrap/>
            <w:vAlign w:val="bottom"/>
          </w:tcPr>
          <w:p w14:paraId="29829FEB">
            <w:pPr>
              <w:keepNext w:val="0"/>
              <w:keepLines w:val="0"/>
              <w:widowControl/>
              <w:suppressLineNumbers w:val="0"/>
              <w:jc w:val="left"/>
              <w:textAlignment w:val="bottom"/>
              <w:rPr>
                <w:rFonts w:hint="eastAsia"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胜率</w:t>
            </w:r>
          </w:p>
        </w:tc>
        <w:tc>
          <w:tcPr>
            <w:tcW w:w="1916" w:type="pct"/>
            <w:tcBorders>
              <w:top w:val="nil"/>
              <w:left w:val="nil"/>
              <w:bottom w:val="nil"/>
              <w:right w:val="nil"/>
            </w:tcBorders>
            <w:shd w:val="clear" w:color="auto" w:fill="FFFFFF"/>
            <w:noWrap/>
            <w:vAlign w:val="bottom"/>
          </w:tcPr>
          <w:p w14:paraId="139E8876">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57.28%</w:t>
            </w:r>
          </w:p>
        </w:tc>
        <w:tc>
          <w:tcPr>
            <w:tcW w:w="1916" w:type="pct"/>
            <w:tcBorders>
              <w:top w:val="nil"/>
              <w:left w:val="nil"/>
              <w:bottom w:val="nil"/>
              <w:right w:val="nil"/>
            </w:tcBorders>
            <w:shd w:val="clear" w:color="auto" w:fill="FFFFFF"/>
            <w:noWrap/>
            <w:vAlign w:val="bottom"/>
          </w:tcPr>
          <w:p w14:paraId="5178CB35">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58.41%</w:t>
            </w:r>
          </w:p>
        </w:tc>
      </w:tr>
      <w:tr w14:paraId="4B1EE8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167" w:type="pct"/>
            <w:tcBorders>
              <w:top w:val="nil"/>
              <w:left w:val="nil"/>
              <w:bottom w:val="single" w:color="000000" w:sz="12" w:space="0"/>
              <w:right w:val="nil"/>
            </w:tcBorders>
            <w:shd w:val="clear" w:color="auto" w:fill="FFFFFF"/>
            <w:noWrap/>
            <w:vAlign w:val="bottom"/>
          </w:tcPr>
          <w:p w14:paraId="602AF375">
            <w:pPr>
              <w:keepNext w:val="0"/>
              <w:keepLines w:val="0"/>
              <w:widowControl/>
              <w:suppressLineNumbers w:val="0"/>
              <w:jc w:val="left"/>
              <w:textAlignment w:val="bottom"/>
              <w:rPr>
                <w:rFonts w:hint="eastAsia" w:ascii="楷体_GB2312" w:hAnsi="宋体" w:eastAsia="楷体_GB2312" w:cs="楷体_GB2312"/>
                <w:i w:val="0"/>
                <w:iCs w:val="0"/>
                <w:color w:val="000000"/>
                <w:sz w:val="22"/>
                <w:szCs w:val="22"/>
                <w:u w:val="none"/>
              </w:rPr>
            </w:pPr>
            <w:r>
              <w:rPr>
                <w:rFonts w:hint="eastAsia" w:ascii="楷体_GB2312" w:hAnsi="宋体" w:eastAsia="楷体_GB2312" w:cs="楷体_GB2312"/>
                <w:i w:val="0"/>
                <w:iCs w:val="0"/>
                <w:color w:val="000000"/>
                <w:kern w:val="0"/>
                <w:sz w:val="22"/>
                <w:szCs w:val="22"/>
                <w:u w:val="none"/>
                <w:lang w:val="en-US" w:eastAsia="zh-CN" w:bidi="ar"/>
              </w:rPr>
              <w:t>交易次数</w:t>
            </w:r>
          </w:p>
        </w:tc>
        <w:tc>
          <w:tcPr>
            <w:tcW w:w="1916" w:type="pct"/>
            <w:tcBorders>
              <w:top w:val="nil"/>
              <w:left w:val="nil"/>
              <w:bottom w:val="single" w:color="000000" w:sz="12" w:space="0"/>
              <w:right w:val="nil"/>
            </w:tcBorders>
            <w:shd w:val="clear" w:color="auto" w:fill="FFFFFF"/>
            <w:noWrap/>
            <w:vAlign w:val="bottom"/>
          </w:tcPr>
          <w:p w14:paraId="40ADED3B">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103</w:t>
            </w:r>
          </w:p>
        </w:tc>
        <w:tc>
          <w:tcPr>
            <w:tcW w:w="1916" w:type="pct"/>
            <w:tcBorders>
              <w:top w:val="nil"/>
              <w:left w:val="nil"/>
              <w:bottom w:val="single" w:color="000000" w:sz="12" w:space="0"/>
              <w:right w:val="nil"/>
            </w:tcBorders>
            <w:shd w:val="clear" w:color="auto" w:fill="FFFFFF"/>
            <w:noWrap/>
            <w:vAlign w:val="bottom"/>
          </w:tcPr>
          <w:p w14:paraId="02149A7F">
            <w:pPr>
              <w:keepNext w:val="0"/>
              <w:keepLines w:val="0"/>
              <w:widowControl/>
              <w:suppressLineNumbers w:val="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113</w:t>
            </w:r>
          </w:p>
        </w:tc>
      </w:tr>
    </w:tbl>
    <w:p w14:paraId="4E098980">
      <w:pPr>
        <w:keepNext w:val="0"/>
        <w:keepLines w:val="0"/>
        <w:widowControl/>
        <w:numPr>
          <w:ilvl w:val="0"/>
          <w:numId w:val="0"/>
        </w:numPr>
        <w:suppressLineNumbers w:val="0"/>
        <w:jc w:val="left"/>
        <w:rPr>
          <w:rFonts w:hint="default" w:ascii="Times New Roman" w:hAnsi="Times New Roman" w:eastAsia="楷体_GB2312" w:cs="Times New Roman"/>
          <w:color w:val="auto"/>
          <w:u w:val="none"/>
          <w:lang w:val="en-US" w:eastAsia="zh-CN"/>
        </w:rPr>
      </w:pPr>
    </w:p>
    <w:p w14:paraId="6ED18B79">
      <w:pPr>
        <w:keepNext w:val="0"/>
        <w:keepLines w:val="0"/>
        <w:widowControl/>
        <w:suppressLineNumbers w:val="0"/>
        <w:jc w:val="left"/>
        <w:rPr>
          <w:rFonts w:hint="eastAsia" w:ascii="楷体" w:hAnsi="楷体" w:eastAsia="楷体" w:cs="楷体"/>
          <w:b/>
          <w:bCs/>
          <w:i w:val="0"/>
          <w:iCs w:val="0"/>
          <w:color w:val="023F97"/>
          <w:kern w:val="0"/>
          <w:sz w:val="21"/>
          <w:szCs w:val="21"/>
          <w:lang w:val="en-US" w:eastAsia="zh-CN" w:bidi="ar"/>
        </w:rPr>
      </w:pPr>
      <w:r>
        <w:rPr>
          <w:rFonts w:hint="eastAsia" w:ascii="楷体" w:hAnsi="楷体" w:eastAsia="楷体" w:cs="楷体"/>
          <w:b/>
          <w:bCs/>
          <w:i w:val="0"/>
          <w:iCs w:val="0"/>
          <w:color w:val="023F97"/>
          <w:kern w:val="0"/>
          <w:sz w:val="21"/>
          <w:szCs w:val="21"/>
          <w:lang w:val="en-US" w:eastAsia="zh-CN" w:bidi="ar"/>
        </w:rPr>
        <w:t>结论：</w:t>
      </w:r>
    </w:p>
    <w:p w14:paraId="499535C6">
      <w:pPr>
        <w:keepNext w:val="0"/>
        <w:keepLines w:val="0"/>
        <w:widowControl/>
        <w:suppressLineNumbers w:val="0"/>
        <w:jc w:val="left"/>
        <w:rPr>
          <w:rFonts w:hint="default" w:ascii="Times New Roman" w:hAnsi="Times New Roman" w:eastAsia="楷体_GB2312" w:cs="Times New Roman"/>
          <w:b/>
          <w:bCs/>
          <w:i w:val="0"/>
          <w:iCs w:val="0"/>
          <w:color w:val="023F97"/>
          <w:kern w:val="0"/>
          <w:sz w:val="21"/>
          <w:szCs w:val="21"/>
          <w:lang w:val="en-US" w:eastAsia="zh-CN" w:bidi="ar"/>
        </w:rPr>
      </w:pPr>
      <w:r>
        <w:rPr>
          <w:rFonts w:hint="default" w:ascii="Times New Roman" w:hAnsi="Times New Roman" w:eastAsia="楷体_GB2312" w:cs="Times New Roman"/>
          <w:b/>
          <w:bCs/>
          <w:i w:val="0"/>
          <w:iCs w:val="0"/>
          <w:color w:val="023F97"/>
          <w:kern w:val="0"/>
          <w:sz w:val="21"/>
          <w:szCs w:val="21"/>
          <w:lang w:val="en-US" w:eastAsia="zh-CN" w:bidi="ar"/>
        </w:rPr>
        <w:t>截至2025年2月28日，3年-1年、5年-1年国债期限利差分位数值分别为9.72%和4.17%，均处于历史极低水平，适用做陡收益率曲线策略；且当前分位数低于做陡收益率曲线策略下3年-1年、5年-1年的触发交易分位数41%和42%，已触发做陡收益率曲线交易条件；故当前时点建仓性价比较高。</w:t>
      </w:r>
    </w:p>
    <w:p w14:paraId="66BABF66"/>
    <w:sectPr>
      <w:pgSz w:w="11906" w:h="16838"/>
      <w:pgMar w:top="1440" w:right="1800" w:bottom="1440" w:left="1800" w:header="851" w:footer="992" w:gutter="0"/>
      <w:pgNumType w:start="0"/>
      <w:cols w:space="0" w:num="1"/>
      <w:titlePg/>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ItalicMT">
    <w:altName w:val="ksdb"/>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ksdb">
    <w:panose1 w:val="02000500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FBD77"/>
    <w:multiLevelType w:val="singleLevel"/>
    <w:tmpl w:val="B14FBD77"/>
    <w:lvl w:ilvl="0" w:tentative="0">
      <w:start w:val="1"/>
      <w:numFmt w:val="decimalEnclosedCircleChinese"/>
      <w:suff w:val="space"/>
      <w:lvlText w:val="%1"/>
      <w:lvlJc w:val="left"/>
      <w:rPr>
        <w:rFonts w:hint="eastAsia"/>
      </w:rPr>
    </w:lvl>
  </w:abstractNum>
  <w:abstractNum w:abstractNumId="1">
    <w:nsid w:val="F1B93795"/>
    <w:multiLevelType w:val="singleLevel"/>
    <w:tmpl w:val="F1B9379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A625B"/>
    <w:rsid w:val="25292EAB"/>
    <w:rsid w:val="26BE791F"/>
    <w:rsid w:val="40912DF1"/>
    <w:rsid w:val="439F3210"/>
    <w:rsid w:val="4D221D9C"/>
    <w:rsid w:val="528A7B0D"/>
    <w:rsid w:val="57D422C9"/>
    <w:rsid w:val="5FC16FA8"/>
    <w:rsid w:val="6AA27435"/>
    <w:rsid w:val="7F580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51"/>
    <w:basedOn w:val="3"/>
    <w:uiPriority w:val="0"/>
    <w:rPr>
      <w:rFonts w:ascii="Arial-ItalicMT" w:hAnsi="Arial-ItalicMT" w:eastAsia="Arial-ItalicMT" w:cs="Arial-ItalicMT"/>
      <w:i/>
      <w:iCs/>
      <w:color w:val="004098"/>
      <w:sz w:val="24"/>
      <w:szCs w:val="24"/>
      <w:u w:val="none"/>
    </w:rPr>
  </w:style>
  <w:style w:type="character" w:customStyle="1" w:styleId="5">
    <w:name w:val="font11"/>
    <w:basedOn w:val="3"/>
    <w:qFormat/>
    <w:uiPriority w:val="0"/>
    <w:rPr>
      <w:rFonts w:hint="eastAsia" w:ascii="楷体" w:hAnsi="楷体" w:eastAsia="楷体" w:cs="楷体"/>
      <w:i/>
      <w:iCs/>
      <w:color w:val="004098"/>
      <w:sz w:val="24"/>
      <w:szCs w:val="24"/>
      <w:u w:val="none"/>
    </w:rPr>
  </w:style>
  <w:style w:type="character" w:customStyle="1" w:styleId="6">
    <w:name w:val="font61"/>
    <w:basedOn w:val="3"/>
    <w:qFormat/>
    <w:uiPriority w:val="0"/>
    <w:rPr>
      <w:rFonts w:ascii="楷体_GB2312" w:eastAsia="楷体_GB2312" w:cs="楷体_GB2312"/>
      <w:b/>
      <w:bCs/>
      <w:color w:val="000000"/>
      <w:sz w:val="22"/>
      <w:szCs w:val="22"/>
      <w:u w:val="none"/>
    </w:rPr>
  </w:style>
  <w:style w:type="character" w:customStyle="1" w:styleId="7">
    <w:name w:val="font71"/>
    <w:basedOn w:val="3"/>
    <w:uiPriority w:val="0"/>
    <w:rPr>
      <w:rFonts w:hint="default" w:ascii="Arial-ItalicMT" w:hAnsi="Arial-ItalicMT" w:eastAsia="Arial-ItalicMT" w:cs="Arial-ItalicMT"/>
      <w:i/>
      <w:iCs/>
      <w:color w:val="004098"/>
      <w:sz w:val="20"/>
      <w:szCs w:val="20"/>
      <w:u w:val="none"/>
    </w:rPr>
  </w:style>
  <w:style w:type="character" w:customStyle="1" w:styleId="8">
    <w:name w:val="font41"/>
    <w:basedOn w:val="3"/>
    <w:qFormat/>
    <w:uiPriority w:val="0"/>
    <w:rPr>
      <w:rFonts w:hint="eastAsia" w:ascii="楷体" w:hAnsi="楷体" w:eastAsia="楷体" w:cs="楷体"/>
      <w:i/>
      <w:iCs/>
      <w:color w:val="004098"/>
      <w:sz w:val="20"/>
      <w:szCs w:val="20"/>
      <w:u w:val="none"/>
    </w:rPr>
  </w:style>
  <w:style w:type="character" w:customStyle="1" w:styleId="9">
    <w:name w:val="font21"/>
    <w:basedOn w:val="3"/>
    <w:qFormat/>
    <w:uiPriority w:val="0"/>
    <w:rPr>
      <w:rFonts w:hint="default" w:ascii="Times New Roman" w:hAnsi="Times New Roman" w:cs="Times New Roman"/>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2024-04-01T16:28:00Z</dcterms:created>
  <dc:creator>35343</dc:creator>
  <cp:lastModifiedBy>王黎明 </cp:lastModifiedBy>
  <dcterms:modified xsi:type="dcterms:W3CDTF">2025-03-01T12:16:07Z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05986C7802BE4F74A4F501CB949DA713_12</vt:lpwstr>
  </property>
  <property fmtid="{D5CDD505-2E9C-101B-9397-08002B2CF9AE}" pid="4" name="KSOTemplateDocerSaveRecord">
    <vt:lpwstr>eyJoZGlkIjoiN2QyZjIyODAzNTkyZTg5NjUxNzdkODQ2NWUyODcxMmUiLCJ1c2VySWQiOiI2NzM1NzQ4MDQifQ==</vt:lpwstr>
  </property>
</Properties>
</file>