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3600"/>
        <w:jc w:val="center"/>
      </w:pPr>
      <w:r>
        <w:rPr>
          <w:b/>
          <w:color w:val="163A5F"/>
          <w:sz w:val="50"/>
          <w:szCs w:val="50"/>
          <w:rFonts w:ascii="Aptos" w:hAnsi="Aptos"/>
        </w:rPr>
        <w:t xml:space="preserve">IMMOFLOW</w:t>
      </w:r>
    </w:p>
    <w:p>
      <w:pPr>
        <w:jc w:val="center"/>
      </w:pPr>
      <w:r>
        <w:rPr>
          <w:color w:val="000000"/>
          <w:sz w:val="40"/>
          <w:szCs w:val="40"/>
          <w:rFonts w:ascii="Aptos" w:hAnsi="Aptos"/>
        </w:rPr>
        <w:t xml:space="preserve">User Manual</w:t>
      </w:r>
    </w:p>
    <w:p>
      <w:pPr>
        <w:spacing w:after="500"/>
        <w:jc w:val="center"/>
      </w:pPr>
      <w:r>
        <w:rPr>
          <w:color w:val="3D4B58"/>
          <w:sz w:val="22"/>
          <w:szCs w:val="22"/>
          <w:rFonts w:ascii="Aptos" w:hAnsi="Aptos"/>
        </w:rPr>
        <w:t xml:space="preserve">A practical guide for administrators, property managers, accountants, owners, staff, and tenants</w:t>
      </w:r>
    </w:p>
    <w:tbl>
      <w:tblPr>
        <w:tblW w:w="0" w:type="auto"/>
        <w:tblBorders>
          <w:top w:val="single" w:sz="6" w:color="D9D9D9"/>
          <w:left w:val="single" w:sz="6" w:color="D9D9D9"/>
          <w:bottom w:val="single" w:sz="6" w:color="D9D9D9"/>
          <w:right w:val="single" w:sz="6" w:color="D9D9D9"/>
          <w:insideH w:val="single" w:sz="6" w:color="D9D9D9"/>
          <w:insideV w:val="single" w:sz="6" w:color="D9D9D9"/>
        </w:tblBorders>
        <w:tblCellMar>
          <w:top w:w="90" w:type="dxa"/>
          <w:left w:w="120" w:type="dxa"/>
          <w:bottom w:w="90" w:type="dxa"/>
          <w:right w:w="120" w:type="dxa"/>
        </w:tblCellMar>
      </w:tblPr>
      <w:tblGrid>
        <w:gridCol w:w="2100"/>
        <w:gridCol w:w="2300"/>
        <w:gridCol w:w="2100"/>
      </w:tblGrid>
      <w:tr>
        <w:trPr>
          <w:tblHeader/>
        </w:trPr>
        <w:tc>
          <w:tcPr>
            <w:tcW w:w="2100" w:type="dxa"/>
            <w:shd w:fill="163A5F"/>
          </w:tcPr>
          <w:p>
            <w:r>
              <w:rPr>
                <w:b/>
                <w:color w:val="FFFFFF"/>
                <w:sz w:val="19"/>
                <w:szCs w:val="19"/>
                <w:rFonts w:ascii="Aptos" w:hAnsi="Aptos"/>
              </w:rPr>
              <w:t xml:space="preserve">Document version</w:t>
            </w:r>
          </w:p>
        </w:tc>
        <w:tc>
          <w:tcPr>
            <w:tcW w:w="2300" w:type="dxa"/>
            <w:shd w:fill="163A5F"/>
          </w:tcPr>
          <w:p>
            <w:r>
              <w:rPr>
                <w:b/>
                <w:color w:val="FFFFFF"/>
                <w:sz w:val="19"/>
                <w:szCs w:val="19"/>
                <w:rFonts w:ascii="Aptos" w:hAnsi="Aptos"/>
              </w:rPr>
              <w:t xml:space="preserve">Prepared for</w:t>
            </w:r>
          </w:p>
        </w:tc>
        <w:tc>
          <w:tcPr>
            <w:tcW w:w="2100" w:type="dxa"/>
            <w:shd w:fill="163A5F"/>
          </w:tcPr>
          <w:p>
            <w:r>
              <w:rPr>
                <w:b/>
                <w:color w:val="FFFFFF"/>
                <w:sz w:val="19"/>
                <w:szCs w:val="19"/>
                <w:rFonts w:ascii="Aptos" w:hAnsi="Aptos"/>
              </w:rPr>
              <w:t xml:space="preserve">Published</w:t>
            </w:r>
          </w:p>
        </w:tc>
      </w:tr>
      <w:tr>
        <w:tc>
          <w:tcPr>
            <w:tcW w:w="2100" w:type="dxa"/>
          </w:tcPr>
          <w:p>
            <w:r>
              <w:rPr>
                <w:color w:val="000000"/>
                <w:sz w:val="18"/>
                <w:szCs w:val="18"/>
                <w:rFonts w:ascii="Aptos" w:hAnsi="Aptos"/>
              </w:rPr>
              <w:t xml:space="preserve">1.0</w:t>
            </w:r>
          </w:p>
        </w:tc>
        <w:tc>
          <w:tcPr>
            <w:tcW w:w="2300" w:type="dxa"/>
          </w:tcPr>
          <w:p>
            <w:r>
              <w:rPr>
                <w:color w:val="000000"/>
                <w:sz w:val="18"/>
                <w:szCs w:val="18"/>
                <w:rFonts w:ascii="Aptos" w:hAnsi="Aptos"/>
              </w:rPr>
              <w:t xml:space="preserve">System users</w:t>
            </w:r>
          </w:p>
        </w:tc>
        <w:tc>
          <w:tcPr>
            <w:tcW w:w="2100" w:type="dxa"/>
          </w:tcPr>
          <w:p>
            <w:r>
              <w:rPr>
                <w:color w:val="000000"/>
                <w:sz w:val="18"/>
                <w:szCs w:val="18"/>
                <w:rFonts w:ascii="Aptos" w:hAnsi="Aptos"/>
              </w:rPr>
              <w:t xml:space="preserve">October 2026</w:t>
            </w:r>
          </w:p>
        </w:tc>
      </w:tr>
    </w:tbl>
    <w:p/>
    <w:p>
      <w:r>
        <w:br w:type="page"/>
      </w:r>
    </w:p>
    <w:p>
      <w:pPr>
        <w:pStyle w:val="H1"/>
        <w:spacing w:before="200" w:after="130"/>
      </w:pPr>
      <w:r>
        <w:rPr>
          <w:b/>
          <w:color w:val="000000"/>
          <w:sz w:val="30"/>
          <w:szCs w:val="30"/>
          <w:rFonts w:ascii="Aptos" w:hAnsi="Aptos"/>
        </w:rPr>
        <w:t xml:space="preserve">Contents</w:t>
      </w:r>
    </w:p>
    <w:p>
      <w:pPr>
        <w:spacing w:after="160"/>
      </w:pPr>
      <w:r>
        <w:rPr>
          <w:color w:val="5A6772"/>
          <w:sz w:val="20"/>
          <w:szCs w:val="20"/>
          <w:rFonts w:ascii="Aptos" w:hAnsi="Aptos"/>
        </w:rPr>
        <w:t xml:space="preserve">Use this table to move through the guide. In Microsoft Word, right-click the table and choose Update Field if the page numbers need refreshing.</w:t>
      </w:r>
    </w:p>
    <w:p>
      <w:pPr>
        <w:spacing w:after="120"/>
      </w:pPr>
      <w:r>
        <w:fldChar w:fldCharType="begin"/>
      </w:r>
      <w:r>
        <w:instrText xml:space="preserve">TOC \o "1-2" \h \z \u</w:instrText>
      </w:r>
      <w:r>
        <w:fldChar w:fldCharType="separate"/>
      </w:r>
      <w:r>
        <w:rPr>
          <w:color w:val="5A6772"/>
          <w:sz w:val="19"/>
          <w:szCs w:val="19"/>
          <w:rFonts w:ascii="Aptos" w:hAnsi="Aptos"/>
        </w:rPr>
        <w:t xml:space="preserve">Update table of contents</w:t>
      </w:r>
      <w:r>
        <w:fldChar w:fldCharType="end"/>
      </w:r>
    </w:p>
    <w:p>
      <w:r>
        <w:br w:type="page"/>
      </w:r>
    </w:p>
    <w:p>
      <w:pPr>
        <w:pStyle w:val="H1"/>
      </w:pPr>
      <w:r>
        <w:rPr>
          <w:b/>
          <w:color w:val="000000"/>
          <w:sz w:val="30"/>
          <w:szCs w:val="30"/>
          <w:rFonts w:ascii="Aptos" w:hAnsi="Aptos"/>
        </w:rPr>
        <w:t xml:space="preserve">About this manual</w:t>
      </w:r>
    </w:p>
    <w:p>
      <w:pPr/>
      <w:r>
        <w:rPr>
          <w:color w:val="000000"/>
          <w:sz w:val="21"/>
          <w:szCs w:val="21"/>
          <w:rFonts w:ascii="Aptos" w:hAnsi="Aptos"/>
        </w:rPr>
        <w:t xml:space="preserve">This manual explains how to use the Real Estate Management System to manage properties, units, tenants, leases, rent invoices, payments, maintenance, reports, and self-service portal activities. Use the sections relevant to your role; menus and actions shown to you depend on your access rights.</w:t>
      </w:r>
    </w:p>
    <w:p>
      <w:pPr>
        <w:pStyle w:val="H2"/>
      </w:pPr>
      <w:r>
        <w:rPr>
          <w:b/>
          <w:color w:val="000000"/>
          <w:sz w:val="24"/>
          <w:szCs w:val="24"/>
          <w:rFonts w:ascii="Aptos" w:hAnsi="Aptos"/>
        </w:rPr>
        <w:t xml:space="preserve">Who should use it</w:t>
      </w:r>
    </w:p>
    <w:tbl>
      <w:tblPr>
        <w:tblW w:w="0" w:type="auto"/>
        <w:tblBorders>
          <w:top w:val="single" w:sz="6" w:color="D9D9D9"/>
          <w:left w:val="single" w:sz="6" w:color="D9D9D9"/>
          <w:bottom w:val="single" w:sz="6" w:color="D9D9D9"/>
          <w:right w:val="single" w:sz="6" w:color="D9D9D9"/>
          <w:insideH w:val="single" w:sz="6" w:color="D9D9D9"/>
          <w:insideV w:val="single" w:sz="6" w:color="D9D9D9"/>
        </w:tblBorders>
        <w:tblCellMar>
          <w:top w:w="90" w:type="dxa"/>
          <w:left w:w="120" w:type="dxa"/>
          <w:bottom w:w="90" w:type="dxa"/>
          <w:right w:w="120" w:type="dxa"/>
        </w:tblCellMar>
      </w:tblPr>
      <w:tblGrid>
        <w:gridCol w:w="1800"/>
        <w:gridCol w:w="4700"/>
      </w:tblGrid>
      <w:tr>
        <w:trPr>
          <w:tblHeader/>
        </w:trPr>
        <w:tc>
          <w:tcPr>
            <w:tcW w:w="1800" w:type="dxa"/>
            <w:shd w:fill="163A5F"/>
          </w:tcPr>
          <w:p>
            <w:r>
              <w:rPr>
                <w:b/>
                <w:color w:val="FFFFFF"/>
                <w:sz w:val="19"/>
                <w:szCs w:val="19"/>
                <w:rFonts w:ascii="Aptos" w:hAnsi="Aptos"/>
              </w:rPr>
              <w:t xml:space="preserve">User group</w:t>
            </w:r>
          </w:p>
        </w:tc>
        <w:tc>
          <w:tcPr>
            <w:tcW w:w="4700" w:type="dxa"/>
            <w:shd w:fill="163A5F"/>
          </w:tcPr>
          <w:p>
            <w:r>
              <w:rPr>
                <w:b/>
                <w:color w:val="FFFFFF"/>
                <w:sz w:val="19"/>
                <w:szCs w:val="19"/>
                <w:rFonts w:ascii="Aptos" w:hAnsi="Aptos"/>
              </w:rPr>
              <w:t xml:space="preserve">Typical responsibilities</w:t>
            </w:r>
          </w:p>
        </w:tc>
      </w:tr>
      <w:tr>
        <w:tc>
          <w:tcPr>
            <w:tcW w:w="1800" w:type="dxa"/>
          </w:tcPr>
          <w:p>
            <w:r>
              <w:rPr>
                <w:color w:val="000000"/>
                <w:sz w:val="18"/>
                <w:szCs w:val="18"/>
                <w:rFonts w:ascii="Aptos" w:hAnsi="Aptos"/>
              </w:rPr>
              <w:t xml:space="preserve">Administrator</w:t>
            </w:r>
          </w:p>
        </w:tc>
        <w:tc>
          <w:tcPr>
            <w:tcW w:w="4700" w:type="dxa"/>
          </w:tcPr>
          <w:p>
            <w:r>
              <w:rPr>
                <w:color w:val="000000"/>
                <w:sz w:val="18"/>
                <w:szCs w:val="18"/>
                <w:rFonts w:ascii="Aptos" w:hAnsi="Aptos"/>
              </w:rPr>
              <w:t xml:space="preserve">Sets up users, portfolio records, finance, maintenance, reports, and access.</w:t>
            </w:r>
          </w:p>
        </w:tc>
      </w:tr>
      <w:tr>
        <w:tc>
          <w:tcPr>
            <w:tcW w:w="1800" w:type="dxa"/>
            <w:shd w:fill="EAF2F8"/>
          </w:tcPr>
          <w:p>
            <w:r>
              <w:rPr>
                <w:color w:val="000000"/>
                <w:sz w:val="18"/>
                <w:szCs w:val="18"/>
                <w:rFonts w:ascii="Aptos" w:hAnsi="Aptos"/>
              </w:rPr>
              <w:t xml:space="preserve">Property manager</w:t>
            </w:r>
          </w:p>
        </w:tc>
        <w:tc>
          <w:tcPr>
            <w:tcW w:w="4700" w:type="dxa"/>
            <w:shd w:fill="EAF2F8"/>
          </w:tcPr>
          <w:p>
            <w:r>
              <w:rPr>
                <w:color w:val="000000"/>
                <w:sz w:val="18"/>
                <w:szCs w:val="18"/>
                <w:rFonts w:ascii="Aptos" w:hAnsi="Aptos"/>
              </w:rPr>
              <w:t xml:space="preserve">Manages properties, units, tenants, leases, maintenance, invoices, and operational reporting.</w:t>
            </w:r>
          </w:p>
        </w:tc>
      </w:tr>
      <w:tr>
        <w:tc>
          <w:tcPr>
            <w:tcW w:w="1800" w:type="dxa"/>
          </w:tcPr>
          <w:p>
            <w:r>
              <w:rPr>
                <w:color w:val="000000"/>
                <w:sz w:val="18"/>
                <w:szCs w:val="18"/>
                <w:rFonts w:ascii="Aptos" w:hAnsi="Aptos"/>
              </w:rPr>
              <w:t xml:space="preserve">Accountant</w:t>
            </w:r>
          </w:p>
        </w:tc>
        <w:tc>
          <w:tcPr>
            <w:tcW w:w="4700" w:type="dxa"/>
          </w:tcPr>
          <w:p>
            <w:r>
              <w:rPr>
                <w:color w:val="000000"/>
                <w:sz w:val="18"/>
                <w:szCs w:val="18"/>
                <w:rFonts w:ascii="Aptos" w:hAnsi="Aptos"/>
              </w:rPr>
              <w:t xml:space="preserve">Records and reviews invoices and payments; produces financial reports.</w:t>
            </w:r>
          </w:p>
        </w:tc>
      </w:tr>
      <w:tr>
        <w:tc>
          <w:tcPr>
            <w:tcW w:w="1800" w:type="dxa"/>
            <w:shd w:fill="EAF2F8"/>
          </w:tcPr>
          <w:p>
            <w:r>
              <w:rPr>
                <w:color w:val="000000"/>
                <w:sz w:val="18"/>
                <w:szCs w:val="18"/>
                <w:rFonts w:ascii="Aptos" w:hAnsi="Aptos"/>
              </w:rPr>
              <w:t xml:space="preserve">Owner</w:t>
            </w:r>
          </w:p>
        </w:tc>
        <w:tc>
          <w:tcPr>
            <w:tcW w:w="4700" w:type="dxa"/>
            <w:shd w:fill="EAF2F8"/>
          </w:tcPr>
          <w:p>
            <w:r>
              <w:rPr>
                <w:color w:val="000000"/>
                <w:sz w:val="18"/>
                <w:szCs w:val="18"/>
                <w:rFonts w:ascii="Aptos" w:hAnsi="Aptos"/>
              </w:rPr>
              <w:t xml:space="preserve">Views and manages the portfolio and finance records assigned to them.</w:t>
            </w:r>
          </w:p>
        </w:tc>
      </w:tr>
      <w:tr>
        <w:tc>
          <w:tcPr>
            <w:tcW w:w="1800" w:type="dxa"/>
          </w:tcPr>
          <w:p>
            <w:r>
              <w:rPr>
                <w:color w:val="000000"/>
                <w:sz w:val="18"/>
                <w:szCs w:val="18"/>
                <w:rFonts w:ascii="Aptos" w:hAnsi="Aptos"/>
              </w:rPr>
              <w:t xml:space="preserve">Reception staff</w:t>
            </w:r>
          </w:p>
        </w:tc>
        <w:tc>
          <w:tcPr>
            <w:tcW w:w="4700" w:type="dxa"/>
          </w:tcPr>
          <w:p>
            <w:r>
              <w:rPr>
                <w:color w:val="000000"/>
                <w:sz w:val="18"/>
                <w:szCs w:val="18"/>
                <w:rFonts w:ascii="Aptos" w:hAnsi="Aptos"/>
              </w:rPr>
              <w:t xml:space="preserve">Maintains day-to-day portfolio, tenant, and lease records where permitted.</w:t>
            </w:r>
          </w:p>
        </w:tc>
      </w:tr>
      <w:tr>
        <w:tc>
          <w:tcPr>
            <w:tcW w:w="1800" w:type="dxa"/>
            <w:shd w:fill="EAF2F8"/>
          </w:tcPr>
          <w:p>
            <w:r>
              <w:rPr>
                <w:color w:val="000000"/>
                <w:sz w:val="18"/>
                <w:szCs w:val="18"/>
                <w:rFonts w:ascii="Aptos" w:hAnsi="Aptos"/>
              </w:rPr>
              <w:t xml:space="preserve">Maintenance staff</w:t>
            </w:r>
          </w:p>
        </w:tc>
        <w:tc>
          <w:tcPr>
            <w:tcW w:w="4700" w:type="dxa"/>
            <w:shd w:fill="EAF2F8"/>
          </w:tcPr>
          <w:p>
            <w:r>
              <w:rPr>
                <w:color w:val="000000"/>
                <w:sz w:val="18"/>
                <w:szCs w:val="18"/>
                <w:rFonts w:ascii="Aptos" w:hAnsi="Aptos"/>
              </w:rPr>
              <w:t xml:space="preserve">Works with maintenance categories, requests, and expenses.</w:t>
            </w:r>
          </w:p>
        </w:tc>
      </w:tr>
      <w:tr>
        <w:tc>
          <w:tcPr>
            <w:tcW w:w="1800" w:type="dxa"/>
          </w:tcPr>
          <w:p>
            <w:r>
              <w:rPr>
                <w:color w:val="000000"/>
                <w:sz w:val="18"/>
                <w:szCs w:val="18"/>
                <w:rFonts w:ascii="Aptos" w:hAnsi="Aptos"/>
              </w:rPr>
              <w:t xml:space="preserve">Tenant</w:t>
            </w:r>
          </w:p>
        </w:tc>
        <w:tc>
          <w:tcPr>
            <w:tcW w:w="4700" w:type="dxa"/>
          </w:tcPr>
          <w:p>
            <w:r>
              <w:rPr>
                <w:color w:val="000000"/>
                <w:sz w:val="18"/>
                <w:szCs w:val="18"/>
                <w:rFonts w:ascii="Aptos" w:hAnsi="Aptos"/>
              </w:rPr>
              <w:t xml:space="preserve">Uses the tenant portal for tenancy details, payment history, maintenance requests, and profile settings.</w:t>
            </w:r>
          </w:p>
        </w:tc>
      </w:tr>
    </w:tbl>
    <w:p/>
    <w:p>
      <w:pPr>
        <w:pStyle w:val="H2"/>
      </w:pPr>
      <w:r>
        <w:rPr>
          <w:b/>
          <w:color w:val="000000"/>
          <w:sz w:val="24"/>
          <w:szCs w:val="24"/>
          <w:rFonts w:ascii="Aptos" w:hAnsi="Aptos"/>
        </w:rPr>
        <w:t xml:space="preserve">How the system is organised</w:t>
      </w:r>
    </w:p>
    <w:p>
      <w:pPr/>
      <w:r>
        <w:rPr>
          <w:color w:val="000000"/>
          <w:sz w:val="21"/>
          <w:szCs w:val="21"/>
          <w:rFonts w:ascii="Aptos" w:hAnsi="Aptos"/>
        </w:rPr>
        <w:t xml:space="preserve">Most staff workflows follow this sequence: create portfolio records, add people, establish an active lease, bill the lease, record or collect payments, then monitor maintenance and reporting. The system protects financial history by restricting changes to records that already have invoices or payments.</w:t>
      </w:r>
    </w:p>
    <w:p>
      <w:pPr>
        <w:pStyle w:val="H1"/>
      </w:pPr>
      <w:r>
        <w:rPr>
          <w:b/>
          <w:color w:val="000000"/>
          <w:sz w:val="30"/>
          <w:szCs w:val="30"/>
          <w:rFonts w:ascii="Aptos" w:hAnsi="Aptos"/>
        </w:rPr>
        <w:t xml:space="preserve">Quick start workflow</w:t>
      </w:r>
    </w:p>
    <w:tbl>
      <w:tblPr>
        <w:tblW w:w="0" w:type="auto"/>
        <w:tblBorders>
          <w:top w:val="single" w:sz="6" w:color="D9D9D9"/>
          <w:left w:val="single" w:sz="6" w:color="D9D9D9"/>
          <w:bottom w:val="single" w:sz="6" w:color="D9D9D9"/>
          <w:right w:val="single" w:sz="6" w:color="D9D9D9"/>
          <w:insideH w:val="single" w:sz="6" w:color="D9D9D9"/>
          <w:insideV w:val="single" w:sz="6" w:color="D9D9D9"/>
        </w:tblBorders>
        <w:tblCellMar>
          <w:top w:w="90" w:type="dxa"/>
          <w:left w:w="120" w:type="dxa"/>
          <w:bottom w:w="90" w:type="dxa"/>
          <w:right w:w="120" w:type="dxa"/>
        </w:tblCellMar>
      </w:tblPr>
      <w:tblGrid>
        <w:gridCol w:w="500"/>
        <w:gridCol w:w="3900"/>
        <w:gridCol w:w="2100"/>
      </w:tblGrid>
      <w:tr>
        <w:trPr>
          <w:tblHeader/>
        </w:trPr>
        <w:tc>
          <w:tcPr>
            <w:tcW w:w="500" w:type="dxa"/>
            <w:shd w:fill="163A5F"/>
          </w:tcPr>
          <w:p>
            <w:r>
              <w:rPr>
                <w:b/>
                <w:color w:val="FFFFFF"/>
                <w:sz w:val="19"/>
                <w:szCs w:val="19"/>
                <w:rFonts w:ascii="Aptos" w:hAnsi="Aptos"/>
              </w:rPr>
              <w:t xml:space="preserve">Step</w:t>
            </w:r>
          </w:p>
        </w:tc>
        <w:tc>
          <w:tcPr>
            <w:tcW w:w="3900" w:type="dxa"/>
            <w:shd w:fill="163A5F"/>
          </w:tcPr>
          <w:p>
            <w:r>
              <w:rPr>
                <w:b/>
                <w:color w:val="FFFFFF"/>
                <w:sz w:val="19"/>
                <w:szCs w:val="19"/>
                <w:rFonts w:ascii="Aptos" w:hAnsi="Aptos"/>
              </w:rPr>
              <w:t xml:space="preserve">Action</w:t>
            </w:r>
          </w:p>
        </w:tc>
        <w:tc>
          <w:tcPr>
            <w:tcW w:w="2100" w:type="dxa"/>
            <w:shd w:fill="163A5F"/>
          </w:tcPr>
          <w:p>
            <w:r>
              <w:rPr>
                <w:b/>
                <w:color w:val="FFFFFF"/>
                <w:sz w:val="19"/>
                <w:szCs w:val="19"/>
                <w:rFonts w:ascii="Aptos" w:hAnsi="Aptos"/>
              </w:rPr>
              <w:t xml:space="preserve">Where to work</w:t>
            </w:r>
          </w:p>
        </w:tc>
      </w:tr>
      <w:tr>
        <w:tc>
          <w:tcPr>
            <w:tcW w:w="500" w:type="dxa"/>
          </w:tcPr>
          <w:p>
            <w:r>
              <w:rPr>
                <w:color w:val="000000"/>
                <w:sz w:val="18"/>
                <w:szCs w:val="18"/>
                <w:rFonts w:ascii="Aptos" w:hAnsi="Aptos"/>
              </w:rPr>
              <w:t xml:space="preserve">1</w:t>
            </w:r>
          </w:p>
        </w:tc>
        <w:tc>
          <w:tcPr>
            <w:tcW w:w="3900" w:type="dxa"/>
          </w:tcPr>
          <w:p>
            <w:r>
              <w:rPr>
                <w:color w:val="000000"/>
                <w:sz w:val="18"/>
                <w:szCs w:val="18"/>
                <w:rFonts w:ascii="Aptos" w:hAnsi="Aptos"/>
              </w:rPr>
              <w:t xml:space="preserve">Create property types, owners, properties, and units.</w:t>
            </w:r>
          </w:p>
        </w:tc>
        <w:tc>
          <w:tcPr>
            <w:tcW w:w="2100" w:type="dxa"/>
          </w:tcPr>
          <w:p>
            <w:r>
              <w:rPr>
                <w:color w:val="000000"/>
                <w:sz w:val="18"/>
                <w:szCs w:val="18"/>
                <w:rFonts w:ascii="Aptos" w:hAnsi="Aptos"/>
              </w:rPr>
              <w:t xml:space="preserve">Property Types, Owners, Properties, Units</w:t>
            </w:r>
          </w:p>
        </w:tc>
      </w:tr>
      <w:tr>
        <w:tc>
          <w:tcPr>
            <w:tcW w:w="500" w:type="dxa"/>
            <w:shd w:fill="EAF2F8"/>
          </w:tcPr>
          <w:p>
            <w:r>
              <w:rPr>
                <w:color w:val="000000"/>
                <w:sz w:val="18"/>
                <w:szCs w:val="18"/>
                <w:rFonts w:ascii="Aptos" w:hAnsi="Aptos"/>
              </w:rPr>
              <w:t xml:space="preserve">2</w:t>
            </w:r>
          </w:p>
        </w:tc>
        <w:tc>
          <w:tcPr>
            <w:tcW w:w="3900" w:type="dxa"/>
            <w:shd w:fill="EAF2F8"/>
          </w:tcPr>
          <w:p>
            <w:r>
              <w:rPr>
                <w:color w:val="000000"/>
                <w:sz w:val="18"/>
                <w:szCs w:val="18"/>
                <w:rFonts w:ascii="Aptos" w:hAnsi="Aptos"/>
              </w:rPr>
              <w:t xml:space="preserve">Add tenants and create portal accounts when needed.</w:t>
            </w:r>
          </w:p>
        </w:tc>
        <w:tc>
          <w:tcPr>
            <w:tcW w:w="2100" w:type="dxa"/>
            <w:shd w:fill="EAF2F8"/>
          </w:tcPr>
          <w:p>
            <w:r>
              <w:rPr>
                <w:color w:val="000000"/>
                <w:sz w:val="18"/>
                <w:szCs w:val="18"/>
                <w:rFonts w:ascii="Aptos" w:hAnsi="Aptos"/>
              </w:rPr>
              <w:t xml:space="preserve">Tenants</w:t>
            </w:r>
          </w:p>
        </w:tc>
      </w:tr>
      <w:tr>
        <w:tc>
          <w:tcPr>
            <w:tcW w:w="500" w:type="dxa"/>
          </w:tcPr>
          <w:p>
            <w:r>
              <w:rPr>
                <w:color w:val="000000"/>
                <w:sz w:val="18"/>
                <w:szCs w:val="18"/>
                <w:rFonts w:ascii="Aptos" w:hAnsi="Aptos"/>
              </w:rPr>
              <w:t xml:space="preserve">3</w:t>
            </w:r>
          </w:p>
        </w:tc>
        <w:tc>
          <w:tcPr>
            <w:tcW w:w="3900" w:type="dxa"/>
          </w:tcPr>
          <w:p>
            <w:r>
              <w:rPr>
                <w:color w:val="000000"/>
                <w:sz w:val="18"/>
                <w:szCs w:val="18"/>
                <w:rFonts w:ascii="Aptos" w:hAnsi="Aptos"/>
              </w:rPr>
              <w:t xml:space="preserve">Create an active lease linking a tenant to a unit.</w:t>
            </w:r>
          </w:p>
        </w:tc>
        <w:tc>
          <w:tcPr>
            <w:tcW w:w="2100" w:type="dxa"/>
          </w:tcPr>
          <w:p>
            <w:r>
              <w:rPr>
                <w:color w:val="000000"/>
                <w:sz w:val="18"/>
                <w:szCs w:val="18"/>
                <w:rFonts w:ascii="Aptos" w:hAnsi="Aptos"/>
              </w:rPr>
              <w:t xml:space="preserve">Leases</w:t>
            </w:r>
          </w:p>
        </w:tc>
      </w:tr>
      <w:tr>
        <w:tc>
          <w:tcPr>
            <w:tcW w:w="500" w:type="dxa"/>
            <w:shd w:fill="EAF2F8"/>
          </w:tcPr>
          <w:p>
            <w:r>
              <w:rPr>
                <w:color w:val="000000"/>
                <w:sz w:val="18"/>
                <w:szCs w:val="18"/>
                <w:rFonts w:ascii="Aptos" w:hAnsi="Aptos"/>
              </w:rPr>
              <w:t xml:space="preserve">4</w:t>
            </w:r>
          </w:p>
        </w:tc>
        <w:tc>
          <w:tcPr>
            <w:tcW w:w="3900" w:type="dxa"/>
            <w:shd w:fill="EAF2F8"/>
          </w:tcPr>
          <w:p>
            <w:r>
              <w:rPr>
                <w:color w:val="000000"/>
                <w:sz w:val="18"/>
                <w:szCs w:val="18"/>
                <w:rFonts w:ascii="Aptos" w:hAnsi="Aptos"/>
              </w:rPr>
              <w:t xml:space="preserve">Create a rent invoice for the active lease and billing period.</w:t>
            </w:r>
          </w:p>
        </w:tc>
        <w:tc>
          <w:tcPr>
            <w:tcW w:w="2100" w:type="dxa"/>
            <w:shd w:fill="EAF2F8"/>
          </w:tcPr>
          <w:p>
            <w:r>
              <w:rPr>
                <w:color w:val="000000"/>
                <w:sz w:val="18"/>
                <w:szCs w:val="18"/>
                <w:rFonts w:ascii="Aptos" w:hAnsi="Aptos"/>
              </w:rPr>
              <w:t xml:space="preserve">Rent Invoices</w:t>
            </w:r>
          </w:p>
        </w:tc>
      </w:tr>
      <w:tr>
        <w:tc>
          <w:tcPr>
            <w:tcW w:w="500" w:type="dxa"/>
          </w:tcPr>
          <w:p>
            <w:r>
              <w:rPr>
                <w:color w:val="000000"/>
                <w:sz w:val="18"/>
                <w:szCs w:val="18"/>
                <w:rFonts w:ascii="Aptos" w:hAnsi="Aptos"/>
              </w:rPr>
              <w:t xml:space="preserve">5</w:t>
            </w:r>
          </w:p>
        </w:tc>
        <w:tc>
          <w:tcPr>
            <w:tcW w:w="3900" w:type="dxa"/>
          </w:tcPr>
          <w:p>
            <w:r>
              <w:rPr>
                <w:color w:val="000000"/>
                <w:sz w:val="18"/>
                <w:szCs w:val="18"/>
                <w:rFonts w:ascii="Aptos" w:hAnsi="Aptos"/>
              </w:rPr>
              <w:t xml:space="preserve">Record a manual payment or initiate M-Pesa for an eligible KES invoice.</w:t>
            </w:r>
          </w:p>
        </w:tc>
        <w:tc>
          <w:tcPr>
            <w:tcW w:w="2100" w:type="dxa"/>
          </w:tcPr>
          <w:p>
            <w:r>
              <w:rPr>
                <w:color w:val="000000"/>
                <w:sz w:val="18"/>
                <w:szCs w:val="18"/>
                <w:rFonts w:ascii="Aptos" w:hAnsi="Aptos"/>
              </w:rPr>
              <w:t xml:space="preserve">Payments or Rent Invoices</w:t>
            </w:r>
          </w:p>
        </w:tc>
      </w:tr>
      <w:tr>
        <w:tc>
          <w:tcPr>
            <w:tcW w:w="500" w:type="dxa"/>
            <w:shd w:fill="EAF2F8"/>
          </w:tcPr>
          <w:p>
            <w:r>
              <w:rPr>
                <w:color w:val="000000"/>
                <w:sz w:val="18"/>
                <w:szCs w:val="18"/>
                <w:rFonts w:ascii="Aptos" w:hAnsi="Aptos"/>
              </w:rPr>
              <w:t xml:space="preserve">6</w:t>
            </w:r>
          </w:p>
        </w:tc>
        <w:tc>
          <w:tcPr>
            <w:tcW w:w="3900" w:type="dxa"/>
            <w:shd w:fill="EAF2F8"/>
          </w:tcPr>
          <w:p>
            <w:r>
              <w:rPr>
                <w:color w:val="000000"/>
                <w:sz w:val="18"/>
                <w:szCs w:val="18"/>
                <w:rFonts w:ascii="Aptos" w:hAnsi="Aptos"/>
              </w:rPr>
              <w:t xml:space="preserve">Review receipts, maintenance activity, and management reports.</w:t>
            </w:r>
          </w:p>
        </w:tc>
        <w:tc>
          <w:tcPr>
            <w:tcW w:w="2100" w:type="dxa"/>
            <w:shd w:fill="EAF2F8"/>
          </w:tcPr>
          <w:p>
            <w:r>
              <w:rPr>
                <w:color w:val="000000"/>
                <w:sz w:val="18"/>
                <w:szCs w:val="18"/>
                <w:rFonts w:ascii="Aptos" w:hAnsi="Aptos"/>
              </w:rPr>
              <w:t xml:space="preserve">Payments, Maintenance, Reports</w:t>
            </w:r>
          </w:p>
        </w:tc>
      </w:tr>
    </w:tbl>
    <w:p/>
    <w:p>
      <w:pPr>
        <w:pStyle w:val="H1"/>
      </w:pPr>
      <w:r>
        <w:rPr>
          <w:b/>
          <w:color w:val="000000"/>
          <w:sz w:val="30"/>
          <w:szCs w:val="30"/>
          <w:rFonts w:ascii="Aptos" w:hAnsi="Aptos"/>
        </w:rPr>
        <w:t xml:space="preserve">1  Signing in and everyday navigation</w:t>
      </w:r>
    </w:p>
    <w:p>
      <w:pPr>
        <w:pStyle w:val="H2"/>
      </w:pPr>
      <w:r>
        <w:rPr>
          <w:b/>
          <w:color w:val="000000"/>
          <w:sz w:val="24"/>
          <w:szCs w:val="24"/>
          <w:rFonts w:ascii="Aptos" w:hAnsi="Aptos"/>
        </w:rPr>
        <w:t xml:space="preserve">Sign in securely</w:t>
      </w:r>
    </w:p>
    <w:p>
      <w:pPr>
        <w:pStyle w:val="ListNumber"/>
      </w:pPr>
      <w:r>
        <w:rPr>
          <w:color w:val="000000"/>
          <w:sz w:val="20"/>
          <w:szCs w:val="20"/>
          <w:rFonts w:ascii="Aptos" w:hAnsi="Aptos"/>
        </w:rPr>
        <w:t xml:space="preserve">Open the sign-in page and enter your registered email address and password.</w:t>
      </w:r>
    </w:p>
    <w:p>
      <w:pPr>
        <w:pStyle w:val="ListNumber"/>
      </w:pPr>
      <w:r>
        <w:rPr>
          <w:color w:val="000000"/>
          <w:sz w:val="20"/>
          <w:szCs w:val="20"/>
          <w:rFonts w:ascii="Aptos" w:hAnsi="Aptos"/>
        </w:rPr>
        <w:t xml:space="preserve">Complete email verification if prompted. Verified access is required for protected areas.</w:t>
      </w:r>
    </w:p>
    <w:p>
      <w:pPr>
        <w:pStyle w:val="ListNumber"/>
      </w:pPr>
      <w:r>
        <w:rPr>
          <w:color w:val="000000"/>
          <w:sz w:val="20"/>
          <w:szCs w:val="20"/>
          <w:rFonts w:ascii="Aptos" w:hAnsi="Aptos"/>
        </w:rPr>
        <w:t xml:space="preserve">Use the password reset link if you cannot sign in. Do not reuse or share passwords.</w:t>
      </w:r>
    </w:p>
    <w:p>
      <w:pPr>
        <w:pStyle w:val="ListNumber"/>
      </w:pPr>
      <w:r>
        <w:rPr>
          <w:color w:val="000000"/>
          <w:sz w:val="20"/>
          <w:szCs w:val="20"/>
          <w:rFonts w:ascii="Aptos" w:hAnsi="Aptos"/>
        </w:rPr>
        <w:t xml:space="preserve">Select Logout from the user menu when finishing, especially on a shared device.</w:t>
      </w:r>
    </w:p>
    <w:p>
      <w:pPr>
        <w:pStyle w:val="H2"/>
      </w:pPr>
      <w:r>
        <w:rPr>
          <w:b/>
          <w:color w:val="000000"/>
          <w:sz w:val="24"/>
          <w:szCs w:val="24"/>
          <w:rFonts w:ascii="Aptos" w:hAnsi="Aptos"/>
        </w:rPr>
        <w:t xml:space="preserve">Use the dashboard and menu</w:t>
      </w:r>
    </w:p>
    <w:p>
      <w:pPr/>
      <w:r>
        <w:rPr>
          <w:color w:val="000000"/>
          <w:sz w:val="21"/>
          <w:szCs w:val="21"/>
          <w:rFonts w:ascii="Aptos" w:hAnsi="Aptos"/>
        </w:rPr>
        <w:t xml:space="preserve">After signing in, the dashboard gives an at-a-glance view of accessible work. Use the navigation menu to open a module. List pages let you open an existing item, create a new one, or use the available filters and action buttons. The notification bell shows recent alerts; open an alert to mark it read and go to the related work.</w:t>
      </w:r>
    </w:p>
    <w:p>
      <w:pPr>
        <w:pStyle w:val="H2"/>
      </w:pPr>
      <w:r>
        <w:rPr>
          <w:b/>
          <w:color w:val="000000"/>
          <w:sz w:val="24"/>
          <w:szCs w:val="24"/>
          <w:rFonts w:ascii="Aptos" w:hAnsi="Aptos"/>
        </w:rPr>
        <w:t xml:space="preserve">Personal settings</w:t>
      </w:r>
    </w:p>
    <w:p>
      <w:pPr/>
      <w:r>
        <w:rPr>
          <w:color w:val="000000"/>
          <w:sz w:val="21"/>
          <w:szCs w:val="21"/>
          <w:rFonts w:ascii="Aptos" w:hAnsi="Aptos"/>
        </w:rPr>
        <w:t xml:space="preserve">Open Settings to choose the application language (English, Swahili, or French), appearance (light, dark, or system), and enter your preferred timezone and currency. The application saves language and appearance preferences for your account. Use Profile to update account details and change your password.</w:t>
      </w:r>
    </w:p>
    <w:p>
      <w:pPr>
        <w:pStyle w:val="H2"/>
      </w:pPr>
      <w:r>
        <w:rPr>
          <w:b/>
          <w:color w:val="000000"/>
          <w:sz w:val="24"/>
          <w:szCs w:val="24"/>
          <w:rFonts w:ascii="Aptos" w:hAnsi="Aptos"/>
        </w:rPr>
        <w:t xml:space="preserve">Get help</w:t>
      </w:r>
    </w:p>
    <w:p>
      <w:pPr/>
      <w:r>
        <w:rPr>
          <w:color w:val="000000"/>
          <w:sz w:val="21"/>
          <w:szCs w:val="21"/>
          <w:rFonts w:ascii="Aptos" w:hAnsi="Aptos"/>
        </w:rPr>
        <w:t xml:space="preserve">Open Support to submit a request. Choose a category, provide a specific subject, and include enough detail for someone to reproduce the issue. If AI Help is available, it can provide navigation guidance; it does not change records or replace a support request for account, billing, or technical problems.</w:t>
      </w:r>
    </w:p>
    <w:p>
      <w:pPr>
        <w:pStyle w:val="H1"/>
        <w:pageBreakBefore/>
      </w:pPr>
      <w:r>
        <w:rPr>
          <w:b/>
          <w:color w:val="000000"/>
          <w:sz w:val="30"/>
          <w:szCs w:val="30"/>
          <w:rFonts w:ascii="Aptos" w:hAnsi="Aptos"/>
        </w:rPr>
        <w:t xml:space="preserve">2  Set up the portfolio</w:t>
      </w:r>
    </w:p>
    <w:p>
      <w:pPr>
        <w:pStyle w:val="H2"/>
      </w:pPr>
      <w:r>
        <w:rPr>
          <w:b/>
          <w:color w:val="000000"/>
          <w:sz w:val="24"/>
          <w:szCs w:val="24"/>
          <w:rFonts w:ascii="Aptos" w:hAnsi="Aptos"/>
        </w:rPr>
        <w:t xml:space="preserve">Property types and owners</w:t>
      </w:r>
    </w:p>
    <w:p>
      <w:pPr/>
      <w:r>
        <w:rPr>
          <w:color w:val="000000"/>
          <w:sz w:val="21"/>
          <w:szCs w:val="21"/>
          <w:rFonts w:ascii="Aptos" w:hAnsi="Aptos"/>
        </w:rPr>
        <w:t xml:space="preserve">Administrators and property managers can create property types before adding properties. Create owner records for the people or organisations connected to the portfolio. Administrators can also create an owner portal account where that feature is required.</w:t>
      </w:r>
    </w:p>
    <w:p>
      <w:pPr>
        <w:pStyle w:val="H2"/>
      </w:pPr>
      <w:r>
        <w:rPr>
          <w:b/>
          <w:color w:val="000000"/>
          <w:sz w:val="24"/>
          <w:szCs w:val="24"/>
          <w:rFonts w:ascii="Aptos" w:hAnsi="Aptos"/>
        </w:rPr>
        <w:t xml:space="preserve">Create a property</w:t>
      </w:r>
    </w:p>
    <w:p>
      <w:pPr>
        <w:pStyle w:val="ListNumber"/>
      </w:pPr>
      <w:r>
        <w:rPr>
          <w:color w:val="000000"/>
          <w:sz w:val="20"/>
          <w:szCs w:val="20"/>
          <w:rFonts w:ascii="Aptos" w:hAnsi="Aptos"/>
        </w:rPr>
        <w:t xml:space="preserve">Open Properties and select the action to create a property.</w:t>
      </w:r>
    </w:p>
    <w:p>
      <w:pPr>
        <w:pStyle w:val="ListNumber"/>
      </w:pPr>
      <w:r>
        <w:rPr>
          <w:color w:val="000000"/>
          <w:sz w:val="20"/>
          <w:szCs w:val="20"/>
          <w:rFonts w:ascii="Aptos" w:hAnsi="Aptos"/>
        </w:rPr>
        <w:t xml:space="preserve">Enter the property details and select the applicable type and owner where shown.</w:t>
      </w:r>
    </w:p>
    <w:p>
      <w:pPr>
        <w:pStyle w:val="ListNumber"/>
      </w:pPr>
      <w:r>
        <w:rPr>
          <w:color w:val="000000"/>
          <w:sz w:val="20"/>
          <w:szCs w:val="20"/>
          <w:rFonts w:ascii="Aptos" w:hAnsi="Aptos"/>
        </w:rPr>
        <w:t xml:space="preserve">Save the property, then open it to review the details.</w:t>
      </w:r>
    </w:p>
    <w:p>
      <w:pPr>
        <w:pStyle w:val="ListNumber"/>
      </w:pPr>
      <w:r>
        <w:rPr>
          <w:color w:val="000000"/>
          <w:sz w:val="20"/>
          <w:szCs w:val="20"/>
          <w:rFonts w:ascii="Aptos" w:hAnsi="Aptos"/>
        </w:rPr>
        <w:t xml:space="preserve">Add property images when needed. Set the preferred image as the cover image and remove images that should no longer be stored.</w:t>
      </w:r>
    </w:p>
    <w:p>
      <w:pPr>
        <w:pStyle w:val="H2"/>
      </w:pPr>
      <w:r>
        <w:rPr>
          <w:b/>
          <w:color w:val="000000"/>
          <w:sz w:val="24"/>
          <w:szCs w:val="24"/>
          <w:rFonts w:ascii="Aptos" w:hAnsi="Aptos"/>
        </w:rPr>
        <w:t xml:space="preserve">Add units</w:t>
      </w:r>
    </w:p>
    <w:p>
      <w:pPr/>
      <w:r>
        <w:rPr>
          <w:color w:val="000000"/>
          <w:sz w:val="21"/>
          <w:szCs w:val="21"/>
          <w:rFonts w:ascii="Aptos" w:hAnsi="Aptos"/>
        </w:rPr>
        <w:t xml:space="preserve">Open Units and create each rentable or managed unit. Link it to the correct property and complete the information requested by the form. Accurate unit records are essential because leases, maintenance, and tenant occupancy depend on this link.</w:t>
      </w:r>
    </w:p>
    <w:p>
      <w:pPr>
        <w:pStyle w:val="H2"/>
      </w:pPr>
      <w:r>
        <w:rPr>
          <w:b/>
          <w:color w:val="000000"/>
          <w:sz w:val="24"/>
          <w:szCs w:val="24"/>
          <w:rFonts w:ascii="Aptos" w:hAnsi="Aptos"/>
        </w:rPr>
        <w:t xml:space="preserve">Good practice</w:t>
      </w:r>
    </w:p>
    <w:p>
      <w:pPr/>
      <w:r>
        <w:rPr>
          <w:color w:val="000000"/>
          <w:sz w:val="21"/>
          <w:szCs w:val="21"/>
          <w:rFonts w:ascii="Aptos" w:hAnsi="Aptos"/>
        </w:rPr>
        <w:t xml:space="preserve">Complete the portfolio before entering leases. Confirm spelling, ownership, and unit identifiers now; correcting linked records later can be restricted to preserve history.</w:t>
      </w:r>
    </w:p>
    <w:p>
      <w:pPr>
        <w:pStyle w:val="H1"/>
      </w:pPr>
      <w:r>
        <w:rPr>
          <w:b/>
          <w:color w:val="000000"/>
          <w:sz w:val="30"/>
          <w:szCs w:val="30"/>
          <w:rFonts w:ascii="Aptos" w:hAnsi="Aptos"/>
        </w:rPr>
        <w:t xml:space="preserve">3  Manage tenants and leases</w:t>
      </w:r>
    </w:p>
    <w:p>
      <w:pPr>
        <w:pStyle w:val="H2"/>
      </w:pPr>
      <w:r>
        <w:rPr>
          <w:b/>
          <w:color w:val="000000"/>
          <w:sz w:val="24"/>
          <w:szCs w:val="24"/>
          <w:rFonts w:ascii="Aptos" w:hAnsi="Aptos"/>
        </w:rPr>
        <w:t xml:space="preserve">Create and maintain tenant records</w:t>
      </w:r>
    </w:p>
    <w:p>
      <w:pPr>
        <w:pStyle w:val="ListNumber"/>
      </w:pPr>
      <w:r>
        <w:rPr>
          <w:color w:val="000000"/>
          <w:sz w:val="20"/>
          <w:szCs w:val="20"/>
          <w:rFonts w:ascii="Aptos" w:hAnsi="Aptos"/>
        </w:rPr>
        <w:t xml:space="preserve">Open Tenants and select Create.</w:t>
      </w:r>
    </w:p>
    <w:p>
      <w:pPr>
        <w:pStyle w:val="ListNumber"/>
      </w:pPr>
      <w:r>
        <w:rPr>
          <w:color w:val="000000"/>
          <w:sz w:val="20"/>
          <w:szCs w:val="20"/>
          <w:rFonts w:ascii="Aptos" w:hAnsi="Aptos"/>
        </w:rPr>
        <w:t xml:space="preserve">Enter the tenant contact and identification details requested by the form.</w:t>
      </w:r>
    </w:p>
    <w:p>
      <w:pPr>
        <w:pStyle w:val="ListNumber"/>
      </w:pPr>
      <w:r>
        <w:rPr>
          <w:color w:val="000000"/>
          <w:sz w:val="20"/>
          <w:szCs w:val="20"/>
          <w:rFonts w:ascii="Aptos" w:hAnsi="Aptos"/>
        </w:rPr>
        <w:t xml:space="preserve">Save the tenant and confirm the information on the tenant profile.</w:t>
      </w:r>
    </w:p>
    <w:p>
      <w:pPr>
        <w:pStyle w:val="ListNumber"/>
      </w:pPr>
      <w:r>
        <w:rPr>
          <w:color w:val="000000"/>
          <w:sz w:val="20"/>
          <w:szCs w:val="20"/>
          <w:rFonts w:ascii="Aptos" w:hAnsi="Aptos"/>
        </w:rPr>
        <w:t xml:space="preserve">From the tenant profile, create a portal account or toggle portal access when the tenant should use self-service. Portal accounts are created from the tenant record, not from User Management.</w:t>
      </w:r>
    </w:p>
    <w:p>
      <w:pPr>
        <w:pStyle w:val="H2"/>
      </w:pPr>
      <w:r>
        <w:rPr>
          <w:b/>
          <w:color w:val="000000"/>
          <w:sz w:val="24"/>
          <w:szCs w:val="24"/>
          <w:rFonts w:ascii="Aptos" w:hAnsi="Aptos"/>
        </w:rPr>
        <w:t xml:space="preserve">Create a lease</w:t>
      </w:r>
    </w:p>
    <w:p>
      <w:pPr/>
      <w:r>
        <w:rPr>
          <w:color w:val="000000"/>
          <w:sz w:val="21"/>
          <w:szCs w:val="21"/>
          <w:rFonts w:ascii="Aptos" w:hAnsi="Aptos"/>
        </w:rPr>
        <w:t xml:space="preserve">Open Leases and create a lease for an eligible unit and tenant. Enter the dates, monthly rent, currency, and other required agreement details. Only active leases with a valid monthly rent can receive rent invoices.</w:t>
      </w:r>
    </w:p>
    <w:p>
      <w:pPr>
        <w:pStyle w:val="H2"/>
      </w:pPr>
      <w:r>
        <w:rPr>
          <w:b/>
          <w:color w:val="000000"/>
          <w:sz w:val="24"/>
          <w:szCs w:val="24"/>
          <w:rFonts w:ascii="Aptos" w:hAnsi="Aptos"/>
        </w:rPr>
        <w:t xml:space="preserve">Lease changes and checkout</w:t>
      </w:r>
    </w:p>
    <w:p>
      <w:pPr/>
      <w:r>
        <w:rPr>
          <w:color w:val="000000"/>
          <w:sz w:val="21"/>
          <w:szCs w:val="21"/>
          <w:rFonts w:ascii="Aptos" w:hAnsi="Aptos"/>
        </w:rPr>
        <w:t xml:space="preserve">Use the lease checkout action when a tenancy ends, following your organisation’s process. Be careful when editing a lease after invoices exist: the system may prevent changing the unit, tenant, or other history-sensitive details. A lease with rent invoices cannot be deleted; retain the financial trail and use the appropriate operational process instead.</w:t>
      </w:r>
    </w:p>
    <w:p>
      <w:pPr>
        <w:pStyle w:val="H1"/>
        <w:pageBreakBefore/>
      </w:pPr>
      <w:r>
        <w:rPr>
          <w:b/>
          <w:color w:val="000000"/>
          <w:sz w:val="30"/>
          <w:szCs w:val="30"/>
          <w:rFonts w:ascii="Aptos" w:hAnsi="Aptos"/>
        </w:rPr>
        <w:t xml:space="preserve">4  Invoice rent and manage payments</w:t>
      </w:r>
    </w:p>
    <w:p>
      <w:pPr>
        <w:pStyle w:val="H2"/>
      </w:pPr>
      <w:r>
        <w:rPr>
          <w:b/>
          <w:color w:val="000000"/>
          <w:sz w:val="24"/>
          <w:szCs w:val="24"/>
          <w:rFonts w:ascii="Aptos" w:hAnsi="Aptos"/>
        </w:rPr>
        <w:t xml:space="preserve">Create a rent invoice</w:t>
      </w:r>
    </w:p>
    <w:p>
      <w:pPr>
        <w:pStyle w:val="ListNumber"/>
      </w:pPr>
      <w:r>
        <w:rPr>
          <w:color w:val="000000"/>
          <w:sz w:val="20"/>
          <w:szCs w:val="20"/>
          <w:rFonts w:ascii="Aptos" w:hAnsi="Aptos"/>
        </w:rPr>
        <w:t xml:space="preserve">Open Rent Invoices and select Create.</w:t>
      </w:r>
    </w:p>
    <w:p>
      <w:pPr>
        <w:pStyle w:val="ListNumber"/>
      </w:pPr>
      <w:r>
        <w:rPr>
          <w:color w:val="000000"/>
          <w:sz w:val="20"/>
          <w:szCs w:val="20"/>
          <w:rFonts w:ascii="Aptos" w:hAnsi="Aptos"/>
        </w:rPr>
        <w:t xml:space="preserve">Choose the active lease. Confirm the tenant, unit, currency, and monthly rent before continuing.</w:t>
      </w:r>
    </w:p>
    <w:p>
      <w:pPr>
        <w:pStyle w:val="ListNumber"/>
      </w:pPr>
      <w:r>
        <w:rPr>
          <w:color w:val="000000"/>
          <w:sz w:val="20"/>
          <w:szCs w:val="20"/>
          <w:rFonts w:ascii="Aptos" w:hAnsi="Aptos"/>
        </w:rPr>
        <w:t xml:space="preserve">Enter the invoice date, due date, billing period, amount, and notes as required.</w:t>
      </w:r>
    </w:p>
    <w:p>
      <w:pPr>
        <w:pStyle w:val="ListNumber"/>
      </w:pPr>
      <w:r>
        <w:rPr>
          <w:color w:val="000000"/>
          <w:sz w:val="20"/>
          <w:szCs w:val="20"/>
          <w:rFonts w:ascii="Aptos" w:hAnsi="Aptos"/>
        </w:rPr>
        <w:t xml:space="preserve">Save. The system generates the invoice number and checks that another invoice does not already exist for the same lease and billing period.</w:t>
      </w:r>
    </w:p>
    <w:p>
      <w:pPr>
        <w:pStyle w:val="ListNumber"/>
      </w:pPr>
      <w:r>
        <w:rPr>
          <w:color w:val="000000"/>
          <w:sz w:val="20"/>
          <w:szCs w:val="20"/>
          <w:rFonts w:ascii="Aptos" w:hAnsi="Aptos"/>
        </w:rPr>
        <w:t xml:space="preserve">Review the saved invoice. Available tenant credit in the matching currency may be applied automatically.</w:t>
      </w:r>
    </w:p>
    <w:p>
      <w:pPr>
        <w:pStyle w:val="H2"/>
      </w:pPr>
      <w:r>
        <w:rPr>
          <w:b/>
          <w:color w:val="000000"/>
          <w:sz w:val="24"/>
          <w:szCs w:val="24"/>
          <w:rFonts w:ascii="Aptos" w:hAnsi="Aptos"/>
        </w:rPr>
        <w:t xml:space="preserve">Invoice control</w:t>
      </w:r>
    </w:p>
    <w:p>
      <w:pPr/>
      <w:r>
        <w:rPr>
          <w:color w:val="000000"/>
          <w:sz w:val="21"/>
          <w:szCs w:val="21"/>
          <w:rFonts w:ascii="Aptos" w:hAnsi="Aptos"/>
        </w:rPr>
        <w:t xml:space="preserve">Do not create a second invoice to correct an amount without first checking the original. Once payment or credit activity exists, important invoice fields are protected. A cancelled invoice cannot be edited, and an invoice with payment activity cannot be cancelled or deleted until the activity is reversed or refunded through your approved process.</w:t>
      </w:r>
    </w:p>
    <w:p>
      <w:pPr>
        <w:pStyle w:val="H2"/>
      </w:pPr>
      <w:r>
        <w:rPr>
          <w:b/>
          <w:color w:val="000000"/>
          <w:sz w:val="24"/>
          <w:szCs w:val="24"/>
          <w:rFonts w:ascii="Aptos" w:hAnsi="Aptos"/>
        </w:rPr>
        <w:t xml:space="preserve">Record a manual or internal payment</w:t>
      </w:r>
    </w:p>
    <w:p>
      <w:pPr>
        <w:pStyle w:val="ListNumber"/>
      </w:pPr>
      <w:r>
        <w:rPr>
          <w:color w:val="000000"/>
          <w:sz w:val="20"/>
          <w:szCs w:val="20"/>
          <w:rFonts w:ascii="Aptos" w:hAnsi="Aptos"/>
        </w:rPr>
        <w:t xml:space="preserve">Open Payments and choose Create.</w:t>
      </w:r>
    </w:p>
    <w:p>
      <w:pPr>
        <w:pStyle w:val="ListNumber"/>
      </w:pPr>
      <w:r>
        <w:rPr>
          <w:color w:val="000000"/>
          <w:sz w:val="20"/>
          <w:szCs w:val="20"/>
          <w:rFonts w:ascii="Aptos" w:hAnsi="Aptos"/>
        </w:rPr>
        <w:t xml:space="preserve">Select the relevant unpaid invoice, then enter the payment details requested by the form.</w:t>
      </w:r>
    </w:p>
    <w:p>
      <w:pPr>
        <w:pStyle w:val="ListNumber"/>
      </w:pPr>
      <w:r>
        <w:rPr>
          <w:color w:val="000000"/>
          <w:sz w:val="20"/>
          <w:szCs w:val="20"/>
          <w:rFonts w:ascii="Aptos" w:hAnsi="Aptos"/>
        </w:rPr>
        <w:t xml:space="preserve">Verify the amount, date, method, and reference before saving.</w:t>
      </w:r>
    </w:p>
    <w:p>
      <w:pPr>
        <w:pStyle w:val="ListNumber"/>
      </w:pPr>
      <w:r>
        <w:rPr>
          <w:color w:val="000000"/>
          <w:sz w:val="20"/>
          <w:szCs w:val="20"/>
          <w:rFonts w:ascii="Aptos" w:hAnsi="Aptos"/>
        </w:rPr>
        <w:t xml:space="preserve">Open the payment record to review the allocation and status.</w:t>
      </w:r>
    </w:p>
    <w:p>
      <w:pPr>
        <w:pStyle w:val="ListNumber"/>
      </w:pPr>
      <w:r>
        <w:rPr>
          <w:color w:val="000000"/>
          <w:sz w:val="20"/>
          <w:szCs w:val="20"/>
          <w:rFonts w:ascii="Aptos" w:hAnsi="Aptos"/>
        </w:rPr>
        <w:t xml:space="preserve">Use the receipt action to view or download the generated receipt. Receipts can also be verified with their verification link or token.</w:t>
      </w:r>
    </w:p>
    <w:p>
      <w:pPr>
        <w:pStyle w:val="H2"/>
      </w:pPr>
      <w:r>
        <w:rPr>
          <w:b/>
          <w:color w:val="000000"/>
          <w:sz w:val="24"/>
          <w:szCs w:val="24"/>
          <w:rFonts w:ascii="Aptos" w:hAnsi="Aptos"/>
        </w:rPr>
        <w:t xml:space="preserve">Initiate an M-Pesa payment</w:t>
      </w:r>
    </w:p>
    <w:p>
      <w:pPr/>
      <w:r>
        <w:rPr>
          <w:color w:val="000000"/>
          <w:sz w:val="21"/>
          <w:szCs w:val="21"/>
          <w:rFonts w:ascii="Aptos" w:hAnsi="Aptos"/>
        </w:rPr>
        <w:t xml:space="preserve">From an eligible rent invoice, use the M-Pesa payment action and provide the required mobile number and amount. M-Pesa STK Push is currently available only for KES invoices and uses whole-number amounts. The payer must approve the prompt on the phone by entering the M-Pesa PIN. Never ask anyone to send their PIN to staff.</w:t>
      </w:r>
    </w:p>
    <w:p>
      <w:pPr>
        <w:pStyle w:val="H2"/>
      </w:pPr>
      <w:r>
        <w:rPr>
          <w:b/>
          <w:color w:val="000000"/>
          <w:sz w:val="24"/>
          <w:szCs w:val="24"/>
          <w:rFonts w:ascii="Aptos" w:hAnsi="Aptos"/>
        </w:rPr>
        <w:t xml:space="preserve">Payment status and corrections</w:t>
      </w:r>
    </w:p>
    <w:p>
      <w:pPr/>
      <w:r>
        <w:rPr>
          <w:color w:val="000000"/>
          <w:sz w:val="21"/>
          <w:szCs w:val="21"/>
          <w:rFonts w:ascii="Aptos" w:hAnsi="Aptos"/>
        </w:rPr>
        <w:t xml:space="preserve">Completed payments affect invoice balances, accounting records, and receipts. Before correcting a payment, review the invoice and receipt to understand the effect on allocations and tenant credit. Use your organisation’s authorized reversal or refund process; do not delete or recreate financial records casually.</w:t>
      </w:r>
    </w:p>
    <w:p>
      <w:pPr>
        <w:pStyle w:val="H1"/>
        <w:pageBreakBefore/>
      </w:pPr>
      <w:r>
        <w:rPr>
          <w:b/>
          <w:color w:val="000000"/>
          <w:sz w:val="30"/>
          <w:szCs w:val="30"/>
          <w:rFonts w:ascii="Aptos" w:hAnsi="Aptos"/>
        </w:rPr>
        <w:t xml:space="preserve">5  Maintenance requests and expenses</w:t>
      </w:r>
    </w:p>
    <w:p>
      <w:pPr>
        <w:pStyle w:val="H2"/>
      </w:pPr>
      <w:r>
        <w:rPr>
          <w:b/>
          <w:color w:val="000000"/>
          <w:sz w:val="24"/>
          <w:szCs w:val="24"/>
          <w:rFonts w:ascii="Aptos" w:hAnsi="Aptos"/>
        </w:rPr>
        <w:t xml:space="preserve">Prepare maintenance categories</w:t>
      </w:r>
    </w:p>
    <w:p>
      <w:pPr/>
      <w:r>
        <w:rPr>
          <w:color w:val="000000"/>
          <w:sz w:val="21"/>
          <w:szCs w:val="21"/>
          <w:rFonts w:ascii="Aptos" w:hAnsi="Aptos"/>
        </w:rPr>
        <w:t xml:space="preserve">Administrators, property managers, and maintenance staff can maintain maintenance categories. Use clear, consistent categories so requests and expenses can be reviewed and reported accurately.</w:t>
      </w:r>
    </w:p>
    <w:p>
      <w:pPr>
        <w:pStyle w:val="H2"/>
      </w:pPr>
      <w:r>
        <w:rPr>
          <w:b/>
          <w:color w:val="000000"/>
          <w:sz w:val="24"/>
          <w:szCs w:val="24"/>
          <w:rFonts w:ascii="Aptos" w:hAnsi="Aptos"/>
        </w:rPr>
        <w:t xml:space="preserve">Process a staff maintenance request</w:t>
      </w:r>
    </w:p>
    <w:p>
      <w:pPr>
        <w:pStyle w:val="ListNumber"/>
      </w:pPr>
      <w:r>
        <w:rPr>
          <w:color w:val="000000"/>
          <w:sz w:val="20"/>
          <w:szCs w:val="20"/>
          <w:rFonts w:ascii="Aptos" w:hAnsi="Aptos"/>
        </w:rPr>
        <w:t xml:space="preserve">Open Maintenance Requests and create or open the request.</w:t>
      </w:r>
    </w:p>
    <w:p>
      <w:pPr>
        <w:pStyle w:val="ListNumber"/>
      </w:pPr>
      <w:r>
        <w:rPr>
          <w:color w:val="000000"/>
          <w:sz w:val="20"/>
          <w:szCs w:val="20"/>
          <w:rFonts w:ascii="Aptos" w:hAnsi="Aptos"/>
        </w:rPr>
        <w:t xml:space="preserve">Confirm the property, unit, tenant, category, description, priority, and status fields shown in the form.</w:t>
      </w:r>
    </w:p>
    <w:p>
      <w:pPr>
        <w:pStyle w:val="ListNumber"/>
      </w:pPr>
      <w:r>
        <w:rPr>
          <w:color w:val="000000"/>
          <w:sz w:val="20"/>
          <w:szCs w:val="20"/>
          <w:rFonts w:ascii="Aptos" w:hAnsi="Aptos"/>
        </w:rPr>
        <w:t xml:space="preserve">Record progress as work is assigned and completed.</w:t>
      </w:r>
    </w:p>
    <w:p>
      <w:pPr>
        <w:pStyle w:val="ListNumber"/>
      </w:pPr>
      <w:r>
        <w:rPr>
          <w:color w:val="000000"/>
          <w:sz w:val="20"/>
          <w:szCs w:val="20"/>
          <w:rFonts w:ascii="Aptos" w:hAnsi="Aptos"/>
        </w:rPr>
        <w:t xml:space="preserve">Keep descriptions factual and include useful dates, observations, and resolution details.</w:t>
      </w:r>
    </w:p>
    <w:p>
      <w:pPr>
        <w:pStyle w:val="H2"/>
      </w:pPr>
      <w:r>
        <w:rPr>
          <w:b/>
          <w:color w:val="000000"/>
          <w:sz w:val="24"/>
          <w:szCs w:val="24"/>
          <w:rFonts w:ascii="Aptos" w:hAnsi="Aptos"/>
        </w:rPr>
        <w:t xml:space="preserve">Record maintenance expenses</w:t>
      </w:r>
    </w:p>
    <w:p>
      <w:pPr/>
      <w:r>
        <w:rPr>
          <w:color w:val="000000"/>
          <w:sz w:val="21"/>
          <w:szCs w:val="21"/>
          <w:rFonts w:ascii="Aptos" w:hAnsi="Aptos"/>
        </w:rPr>
        <w:t xml:space="preserve">Open Maintenance Expenses to record costs related to maintenance work. Link the expense to the correct related records, enter the amount and currency carefully, and retain supporting documents according to your business policy. Review the request and expense together before closing a job.</w:t>
      </w:r>
    </w:p>
    <w:p>
      <w:pPr>
        <w:pStyle w:val="H1"/>
      </w:pPr>
      <w:r>
        <w:rPr>
          <w:b/>
          <w:color w:val="000000"/>
          <w:sz w:val="30"/>
          <w:szCs w:val="30"/>
          <w:rFonts w:ascii="Aptos" w:hAnsi="Aptos"/>
        </w:rPr>
        <w:t xml:space="preserve">6  Reports and exports</w:t>
      </w:r>
    </w:p>
    <w:p>
      <w:pPr/>
      <w:r>
        <w:rPr>
          <w:color w:val="000000"/>
          <w:sz w:val="21"/>
          <w:szCs w:val="21"/>
          <w:rFonts w:ascii="Aptos" w:hAnsi="Aptos"/>
        </w:rPr>
        <w:t xml:space="preserve">The Reports area is available to administrators, property managers, and accountants. It consolidates invoice, payment, and maintenance information for the accessible portfolio. Use the available filters to narrow the reporting period or scope, then review the summary and detailed records before sharing results.</w:t>
      </w:r>
    </w:p>
    <w:p>
      <w:pPr>
        <w:pStyle w:val="H2"/>
      </w:pPr>
      <w:r>
        <w:rPr>
          <w:b/>
          <w:color w:val="000000"/>
          <w:sz w:val="24"/>
          <w:szCs w:val="24"/>
          <w:rFonts w:ascii="Aptos" w:hAnsi="Aptos"/>
        </w:rPr>
        <w:t xml:space="preserve">Export a report</w:t>
      </w:r>
    </w:p>
    <w:p>
      <w:pPr>
        <w:pStyle w:val="ListNumber"/>
      </w:pPr>
      <w:r>
        <w:rPr>
          <w:color w:val="000000"/>
          <w:sz w:val="20"/>
          <w:szCs w:val="20"/>
          <w:rFonts w:ascii="Aptos" w:hAnsi="Aptos"/>
        </w:rPr>
        <w:t xml:space="preserve">Apply the filters you want to use on the Reports page.</w:t>
      </w:r>
    </w:p>
    <w:p>
      <w:pPr>
        <w:pStyle w:val="ListNumber"/>
      </w:pPr>
      <w:r>
        <w:rPr>
          <w:color w:val="000000"/>
          <w:sz w:val="20"/>
          <w:szCs w:val="20"/>
          <w:rFonts w:ascii="Aptos" w:hAnsi="Aptos"/>
        </w:rPr>
        <w:t xml:space="preserve">Select the export action. The system exports the selected reporting scope to an Excel workbook.</w:t>
      </w:r>
    </w:p>
    <w:p>
      <w:pPr>
        <w:pStyle w:val="ListNumber"/>
      </w:pPr>
      <w:r>
        <w:rPr>
          <w:color w:val="000000"/>
          <w:sz w:val="20"/>
          <w:szCs w:val="20"/>
          <w:rFonts w:ascii="Aptos" w:hAnsi="Aptos"/>
        </w:rPr>
        <w:t xml:space="preserve">Open the exported file and check the invoice, payment, maintenance, and summary sheets as appropriate.</w:t>
      </w:r>
    </w:p>
    <w:p>
      <w:pPr>
        <w:pStyle w:val="ListNumber"/>
      </w:pPr>
      <w:r>
        <w:rPr>
          <w:color w:val="000000"/>
          <w:sz w:val="20"/>
          <w:szCs w:val="20"/>
          <w:rFonts w:ascii="Aptos" w:hAnsi="Aptos"/>
        </w:rPr>
        <w:t xml:space="preserve">Store or share exports only through approved channels because they may contain financial and personal data.</w:t>
      </w:r>
    </w:p>
    <w:p>
      <w:pPr>
        <w:pStyle w:val="H1"/>
        <w:pageBreakBefore/>
      </w:pPr>
      <w:r>
        <w:rPr>
          <w:b/>
          <w:color w:val="000000"/>
          <w:sz w:val="30"/>
          <w:szCs w:val="30"/>
          <w:rFonts w:ascii="Aptos" w:hAnsi="Aptos"/>
        </w:rPr>
        <w:t xml:space="preserve">7  Tenant portal guide</w:t>
      </w:r>
    </w:p>
    <w:p>
      <w:pPr/>
      <w:r>
        <w:rPr>
          <w:color w:val="000000"/>
          <w:sz w:val="21"/>
          <w:szCs w:val="21"/>
          <w:rFonts w:ascii="Aptos" w:hAnsi="Aptos"/>
        </w:rPr>
        <w:t xml:space="preserve">The tenant portal is separate from staff operations. A tenant must have a portal account and enabled access before they can sign in. Portal users see only information associated with their own tenancy.</w:t>
      </w:r>
    </w:p>
    <w:p>
      <w:pPr>
        <w:pStyle w:val="H2"/>
      </w:pPr>
      <w:r>
        <w:rPr>
          <w:b/>
          <w:color w:val="000000"/>
          <w:sz w:val="24"/>
          <w:szCs w:val="24"/>
          <w:rFonts w:ascii="Aptos" w:hAnsi="Aptos"/>
        </w:rPr>
        <w:t xml:space="preserve">What tenants can do</w:t>
      </w:r>
    </w:p>
    <w:tbl>
      <w:tblPr>
        <w:tblW w:w="0" w:type="auto"/>
        <w:tblBorders>
          <w:top w:val="single" w:sz="6" w:color="D9D9D9"/>
          <w:left w:val="single" w:sz="6" w:color="D9D9D9"/>
          <w:bottom w:val="single" w:sz="6" w:color="D9D9D9"/>
          <w:right w:val="single" w:sz="6" w:color="D9D9D9"/>
          <w:insideH w:val="single" w:sz="6" w:color="D9D9D9"/>
          <w:insideV w:val="single" w:sz="6" w:color="D9D9D9"/>
        </w:tblBorders>
        <w:tblCellMar>
          <w:top w:w="90" w:type="dxa"/>
          <w:left w:w="120" w:type="dxa"/>
          <w:bottom w:w="90" w:type="dxa"/>
          <w:right w:w="120" w:type="dxa"/>
        </w:tblCellMar>
      </w:tblPr>
      <w:tblGrid>
        <w:gridCol w:w="1900"/>
        <w:gridCol w:w="4900"/>
      </w:tblGrid>
      <w:tr>
        <w:trPr>
          <w:tblHeader/>
        </w:trPr>
        <w:tc>
          <w:tcPr>
            <w:tcW w:w="1900" w:type="dxa"/>
            <w:shd w:fill="163A5F"/>
          </w:tcPr>
          <w:p>
            <w:r>
              <w:rPr>
                <w:b/>
                <w:color w:val="FFFFFF"/>
                <w:sz w:val="19"/>
                <w:szCs w:val="19"/>
                <w:rFonts w:ascii="Aptos" w:hAnsi="Aptos"/>
              </w:rPr>
              <w:t xml:space="preserve">Portal area</w:t>
            </w:r>
          </w:p>
        </w:tc>
        <w:tc>
          <w:tcPr>
            <w:tcW w:w="4900" w:type="dxa"/>
            <w:shd w:fill="163A5F"/>
          </w:tcPr>
          <w:p>
            <w:r>
              <w:rPr>
                <w:b/>
                <w:color w:val="FFFFFF"/>
                <w:sz w:val="19"/>
                <w:szCs w:val="19"/>
                <w:rFonts w:ascii="Aptos" w:hAnsi="Aptos"/>
              </w:rPr>
              <w:t xml:space="preserve">Tenant action</w:t>
            </w:r>
          </w:p>
        </w:tc>
      </w:tr>
      <w:tr>
        <w:tc>
          <w:tcPr>
            <w:tcW w:w="1900" w:type="dxa"/>
          </w:tcPr>
          <w:p>
            <w:r>
              <w:rPr>
                <w:color w:val="000000"/>
                <w:sz w:val="18"/>
                <w:szCs w:val="18"/>
                <w:rFonts w:ascii="Aptos" w:hAnsi="Aptos"/>
              </w:rPr>
              <w:t xml:space="preserve">Dashboard</w:t>
            </w:r>
          </w:p>
        </w:tc>
        <w:tc>
          <w:tcPr>
            <w:tcW w:w="4900" w:type="dxa"/>
          </w:tcPr>
          <w:p>
            <w:r>
              <w:rPr>
                <w:color w:val="000000"/>
                <w:sz w:val="18"/>
                <w:szCs w:val="18"/>
                <w:rFonts w:ascii="Aptos" w:hAnsi="Aptos"/>
              </w:rPr>
              <w:t xml:space="preserve">Review the tenant-facing overview and current information.</w:t>
            </w:r>
          </w:p>
        </w:tc>
      </w:tr>
      <w:tr>
        <w:tc>
          <w:tcPr>
            <w:tcW w:w="1900" w:type="dxa"/>
            <w:shd w:fill="EAF2F8"/>
          </w:tcPr>
          <w:p>
            <w:r>
              <w:rPr>
                <w:color w:val="000000"/>
                <w:sz w:val="18"/>
                <w:szCs w:val="18"/>
                <w:rFonts w:ascii="Aptos" w:hAnsi="Aptos"/>
              </w:rPr>
              <w:t xml:space="preserve">My Tenancy</w:t>
            </w:r>
          </w:p>
        </w:tc>
        <w:tc>
          <w:tcPr>
            <w:tcW w:w="4900" w:type="dxa"/>
            <w:shd w:fill="EAF2F8"/>
          </w:tcPr>
          <w:p>
            <w:r>
              <w:rPr>
                <w:color w:val="000000"/>
                <w:sz w:val="18"/>
                <w:szCs w:val="18"/>
                <w:rFonts w:ascii="Aptos" w:hAnsi="Aptos"/>
              </w:rPr>
              <w:t xml:space="preserve">View tenancy details supplied by the management team.</w:t>
            </w:r>
          </w:p>
        </w:tc>
      </w:tr>
      <w:tr>
        <w:tc>
          <w:tcPr>
            <w:tcW w:w="1900" w:type="dxa"/>
          </w:tcPr>
          <w:p>
            <w:r>
              <w:rPr>
                <w:color w:val="000000"/>
                <w:sz w:val="18"/>
                <w:szCs w:val="18"/>
                <w:rFonts w:ascii="Aptos" w:hAnsi="Aptos"/>
              </w:rPr>
              <w:t xml:space="preserve">Payments</w:t>
            </w:r>
          </w:p>
        </w:tc>
        <w:tc>
          <w:tcPr>
            <w:tcW w:w="4900" w:type="dxa"/>
          </w:tcPr>
          <w:p>
            <w:r>
              <w:rPr>
                <w:color w:val="000000"/>
                <w:sz w:val="18"/>
                <w:szCs w:val="18"/>
                <w:rFonts w:ascii="Aptos" w:hAnsi="Aptos"/>
              </w:rPr>
              <w:t xml:space="preserve">Review payment history and open payment details where available.</w:t>
            </w:r>
          </w:p>
        </w:tc>
      </w:tr>
      <w:tr>
        <w:tc>
          <w:tcPr>
            <w:tcW w:w="1900" w:type="dxa"/>
            <w:shd w:fill="EAF2F8"/>
          </w:tcPr>
          <w:p>
            <w:r>
              <w:rPr>
                <w:color w:val="000000"/>
                <w:sz w:val="18"/>
                <w:szCs w:val="18"/>
                <w:rFonts w:ascii="Aptos" w:hAnsi="Aptos"/>
              </w:rPr>
              <w:t xml:space="preserve">Maintenance</w:t>
            </w:r>
          </w:p>
        </w:tc>
        <w:tc>
          <w:tcPr>
            <w:tcW w:w="4900" w:type="dxa"/>
            <w:shd w:fill="EAF2F8"/>
          </w:tcPr>
          <w:p>
            <w:r>
              <w:rPr>
                <w:color w:val="000000"/>
                <w:sz w:val="18"/>
                <w:szCs w:val="18"/>
                <w:rFonts w:ascii="Aptos" w:hAnsi="Aptos"/>
              </w:rPr>
              <w:t xml:space="preserve">Submit a new request and track existing requests.</w:t>
            </w:r>
          </w:p>
        </w:tc>
      </w:tr>
      <w:tr>
        <w:tc>
          <w:tcPr>
            <w:tcW w:w="1900" w:type="dxa"/>
          </w:tcPr>
          <w:p>
            <w:r>
              <w:rPr>
                <w:color w:val="000000"/>
                <w:sz w:val="18"/>
                <w:szCs w:val="18"/>
                <w:rFonts w:ascii="Aptos" w:hAnsi="Aptos"/>
              </w:rPr>
              <w:t xml:space="preserve">Notifications</w:t>
            </w:r>
          </w:p>
        </w:tc>
        <w:tc>
          <w:tcPr>
            <w:tcW w:w="4900" w:type="dxa"/>
          </w:tcPr>
          <w:p>
            <w:r>
              <w:rPr>
                <w:color w:val="000000"/>
                <w:sz w:val="18"/>
                <w:szCs w:val="18"/>
                <w:rFonts w:ascii="Aptos" w:hAnsi="Aptos"/>
              </w:rPr>
              <w:t xml:space="preserve">Read updates and mark notifications as read.</w:t>
            </w:r>
          </w:p>
        </w:tc>
      </w:tr>
      <w:tr>
        <w:tc>
          <w:tcPr>
            <w:tcW w:w="1900" w:type="dxa"/>
            <w:shd w:fill="EAF2F8"/>
          </w:tcPr>
          <w:p>
            <w:r>
              <w:rPr>
                <w:color w:val="000000"/>
                <w:sz w:val="18"/>
                <w:szCs w:val="18"/>
                <w:rFonts w:ascii="Aptos" w:hAnsi="Aptos"/>
              </w:rPr>
              <w:t xml:space="preserve">My Profile</w:t>
            </w:r>
          </w:p>
        </w:tc>
        <w:tc>
          <w:tcPr>
            <w:tcW w:w="4900" w:type="dxa"/>
            <w:shd w:fill="EAF2F8"/>
          </w:tcPr>
          <w:p>
            <w:r>
              <w:rPr>
                <w:color w:val="000000"/>
                <w:sz w:val="18"/>
                <w:szCs w:val="18"/>
                <w:rFonts w:ascii="Aptos" w:hAnsi="Aptos"/>
              </w:rPr>
              <w:t xml:space="preserve">Update permitted personal profile details and profile photo.</w:t>
            </w:r>
          </w:p>
        </w:tc>
      </w:tr>
      <w:tr>
        <w:tc>
          <w:tcPr>
            <w:tcW w:w="1900" w:type="dxa"/>
          </w:tcPr>
          <w:p>
            <w:r>
              <w:rPr>
                <w:color w:val="000000"/>
                <w:sz w:val="18"/>
                <w:szCs w:val="18"/>
                <w:rFonts w:ascii="Aptos" w:hAnsi="Aptos"/>
              </w:rPr>
              <w:t xml:space="preserve">Change Password</w:t>
            </w:r>
          </w:p>
        </w:tc>
        <w:tc>
          <w:tcPr>
            <w:tcW w:w="4900" w:type="dxa"/>
          </w:tcPr>
          <w:p>
            <w:r>
              <w:rPr>
                <w:color w:val="000000"/>
                <w:sz w:val="18"/>
                <w:szCs w:val="18"/>
                <w:rFonts w:ascii="Aptos" w:hAnsi="Aptos"/>
              </w:rPr>
              <w:t xml:space="preserve">Set a new password using the secure password form.</w:t>
            </w:r>
          </w:p>
        </w:tc>
      </w:tr>
      <w:tr>
        <w:tc>
          <w:tcPr>
            <w:tcW w:w="1900" w:type="dxa"/>
            <w:shd w:fill="EAF2F8"/>
          </w:tcPr>
          <w:p>
            <w:r>
              <w:rPr>
                <w:color w:val="000000"/>
                <w:sz w:val="18"/>
                <w:szCs w:val="18"/>
                <w:rFonts w:ascii="Aptos" w:hAnsi="Aptos"/>
              </w:rPr>
              <w:t xml:space="preserve">Appearance</w:t>
            </w:r>
          </w:p>
        </w:tc>
        <w:tc>
          <w:tcPr>
            <w:tcW w:w="4900" w:type="dxa"/>
            <w:shd w:fill="EAF2F8"/>
          </w:tcPr>
          <w:p>
            <w:r>
              <w:rPr>
                <w:color w:val="000000"/>
                <w:sz w:val="18"/>
                <w:szCs w:val="18"/>
                <w:rFonts w:ascii="Aptos" w:hAnsi="Aptos"/>
              </w:rPr>
              <w:t xml:space="preserve">Switch between light and dark appearance from the portal interface.</w:t>
            </w:r>
          </w:p>
        </w:tc>
      </w:tr>
    </w:tbl>
    <w:p/>
    <w:p>
      <w:pPr>
        <w:pStyle w:val="H2"/>
      </w:pPr>
      <w:r>
        <w:rPr>
          <w:b/>
          <w:color w:val="000000"/>
          <w:sz w:val="24"/>
          <w:szCs w:val="24"/>
          <w:rFonts w:ascii="Aptos" w:hAnsi="Aptos"/>
        </w:rPr>
        <w:t xml:space="preserve">Submit a tenant maintenance request</w:t>
      </w:r>
    </w:p>
    <w:p>
      <w:pPr>
        <w:pStyle w:val="ListNumber"/>
      </w:pPr>
      <w:r>
        <w:rPr>
          <w:color w:val="000000"/>
          <w:sz w:val="20"/>
          <w:szCs w:val="20"/>
          <w:rFonts w:ascii="Aptos" w:hAnsi="Aptos"/>
        </w:rPr>
        <w:t xml:space="preserve">Open Maintenance in the portal and select the action to create a request.</w:t>
      </w:r>
    </w:p>
    <w:p>
      <w:pPr>
        <w:pStyle w:val="ListNumber"/>
      </w:pPr>
      <w:r>
        <w:rPr>
          <w:color w:val="000000"/>
          <w:sz w:val="20"/>
          <w:szCs w:val="20"/>
          <w:rFonts w:ascii="Aptos" w:hAnsi="Aptos"/>
        </w:rPr>
        <w:t xml:space="preserve">Describe the issue clearly, including the unit area, when it started, access constraints, and any immediate safety concern.</w:t>
      </w:r>
    </w:p>
    <w:p>
      <w:pPr>
        <w:pStyle w:val="ListNumber"/>
      </w:pPr>
      <w:r>
        <w:rPr>
          <w:color w:val="000000"/>
          <w:sz w:val="20"/>
          <w:szCs w:val="20"/>
          <w:rFonts w:ascii="Aptos" w:hAnsi="Aptos"/>
        </w:rPr>
        <w:t xml:space="preserve">Submit the request and keep the confirmation or reference available.</w:t>
      </w:r>
    </w:p>
    <w:p>
      <w:pPr>
        <w:pStyle w:val="ListNumber"/>
      </w:pPr>
      <w:r>
        <w:rPr>
          <w:color w:val="000000"/>
          <w:sz w:val="20"/>
          <w:szCs w:val="20"/>
          <w:rFonts w:ascii="Aptos" w:hAnsi="Aptos"/>
        </w:rPr>
        <w:t xml:space="preserve">Return to the Maintenance list to see updates and open the request for details.</w:t>
      </w:r>
    </w:p>
    <w:p>
      <w:pPr>
        <w:pStyle w:val="H2"/>
      </w:pPr>
      <w:r>
        <w:rPr>
          <w:b/>
          <w:color w:val="000000"/>
          <w:sz w:val="24"/>
          <w:szCs w:val="24"/>
          <w:rFonts w:ascii="Aptos" w:hAnsi="Aptos"/>
        </w:rPr>
        <w:t xml:space="preserve">Important</w:t>
      </w:r>
    </w:p>
    <w:p>
      <w:pPr/>
      <w:r>
        <w:rPr>
          <w:color w:val="000000"/>
          <w:sz w:val="21"/>
          <w:szCs w:val="21"/>
          <w:rFonts w:ascii="Aptos" w:hAnsi="Aptos"/>
        </w:rPr>
        <w:t xml:space="preserve">For urgent safety incidents, tenants should follow the property emergency procedure in addition to using the portal. The portal is a record and communication channel, not a substitute for emergency services.</w:t>
      </w:r>
    </w:p>
    <w:p>
      <w:pPr>
        <w:pStyle w:val="H1"/>
      </w:pPr>
      <w:r>
        <w:rPr>
          <w:b/>
          <w:color w:val="000000"/>
          <w:sz w:val="30"/>
          <w:szCs w:val="30"/>
          <w:rFonts w:ascii="Aptos" w:hAnsi="Aptos"/>
        </w:rPr>
        <w:t xml:space="preserve">8  Roles and access</w:t>
      </w:r>
    </w:p>
    <w:p>
      <w:pPr/>
      <w:r>
        <w:rPr>
          <w:color w:val="000000"/>
          <w:sz w:val="21"/>
          <w:szCs w:val="21"/>
          <w:rFonts w:ascii="Aptos" w:hAnsi="Aptos"/>
        </w:rPr>
        <w:t xml:space="preserve">Menus are role-based. Access to a page does not imply permission to perform every financial or administrative action. The matrix below describes the main implementation-level access groups; your organisation may also apply portfolio-level restrictions.</w:t>
      </w:r>
    </w:p>
    <w:tbl>
      <w:tblPr>
        <w:tblW w:w="0" w:type="auto"/>
        <w:tblBorders>
          <w:top w:val="single" w:sz="6" w:color="D9D9D9"/>
          <w:left w:val="single" w:sz="6" w:color="D9D9D9"/>
          <w:bottom w:val="single" w:sz="6" w:color="D9D9D9"/>
          <w:right w:val="single" w:sz="6" w:color="D9D9D9"/>
          <w:insideH w:val="single" w:sz="6" w:color="D9D9D9"/>
          <w:insideV w:val="single" w:sz="6" w:color="D9D9D9"/>
        </w:tblBorders>
        <w:tblCellMar>
          <w:top w:w="90" w:type="dxa"/>
          <w:left w:w="120" w:type="dxa"/>
          <w:bottom w:w="90" w:type="dxa"/>
          <w:right w:w="120" w:type="dxa"/>
        </w:tblCellMar>
      </w:tblPr>
      <w:tblGrid>
        <w:gridCol w:w="2800"/>
        <w:gridCol w:w="4000"/>
      </w:tblGrid>
      <w:tr>
        <w:trPr>
          <w:tblHeader/>
        </w:trPr>
        <w:tc>
          <w:tcPr>
            <w:tcW w:w="2800" w:type="dxa"/>
            <w:shd w:fill="163A5F"/>
          </w:tcPr>
          <w:p>
            <w:r>
              <w:rPr>
                <w:b/>
                <w:color w:val="FFFFFF"/>
                <w:sz w:val="19"/>
                <w:szCs w:val="19"/>
                <w:rFonts w:ascii="Aptos" w:hAnsi="Aptos"/>
              </w:rPr>
              <w:t xml:space="preserve">Area</w:t>
            </w:r>
          </w:p>
        </w:tc>
        <w:tc>
          <w:tcPr>
            <w:tcW w:w="4000" w:type="dxa"/>
            <w:shd w:fill="163A5F"/>
          </w:tcPr>
          <w:p>
            <w:r>
              <w:rPr>
                <w:b/>
                <w:color w:val="FFFFFF"/>
                <w:sz w:val="19"/>
                <w:szCs w:val="19"/>
                <w:rFonts w:ascii="Aptos" w:hAnsi="Aptos"/>
              </w:rPr>
              <w:t xml:space="preserve">Roles with access</w:t>
            </w:r>
          </w:p>
        </w:tc>
      </w:tr>
      <w:tr>
        <w:tc>
          <w:tcPr>
            <w:tcW w:w="2800" w:type="dxa"/>
          </w:tcPr>
          <w:p>
            <w:r>
              <w:rPr>
                <w:color w:val="000000"/>
                <w:sz w:val="18"/>
                <w:szCs w:val="18"/>
                <w:rFonts w:ascii="Aptos" w:hAnsi="Aptos"/>
              </w:rPr>
              <w:t xml:space="preserve">User management</w:t>
            </w:r>
          </w:p>
        </w:tc>
        <w:tc>
          <w:tcPr>
            <w:tcW w:w="4000" w:type="dxa"/>
          </w:tcPr>
          <w:p>
            <w:r>
              <w:rPr>
                <w:color w:val="000000"/>
                <w:sz w:val="18"/>
                <w:szCs w:val="18"/>
                <w:rFonts w:ascii="Aptos" w:hAnsi="Aptos"/>
              </w:rPr>
              <w:t xml:space="preserve">Administrator</w:t>
            </w:r>
          </w:p>
        </w:tc>
      </w:tr>
      <w:tr>
        <w:tc>
          <w:tcPr>
            <w:tcW w:w="2800" w:type="dxa"/>
            <w:shd w:fill="EAF2F8"/>
          </w:tcPr>
          <w:p>
            <w:r>
              <w:rPr>
                <w:color w:val="000000"/>
                <w:sz w:val="18"/>
                <w:szCs w:val="18"/>
                <w:rFonts w:ascii="Aptos" w:hAnsi="Aptos"/>
              </w:rPr>
              <w:t xml:space="preserve">Property types</w:t>
            </w:r>
          </w:p>
        </w:tc>
        <w:tc>
          <w:tcPr>
            <w:tcW w:w="4000" w:type="dxa"/>
            <w:shd w:fill="EAF2F8"/>
          </w:tcPr>
          <w:p>
            <w:r>
              <w:rPr>
                <w:color w:val="000000"/>
                <w:sz w:val="18"/>
                <w:szCs w:val="18"/>
                <w:rFonts w:ascii="Aptos" w:hAnsi="Aptos"/>
              </w:rPr>
              <w:t xml:space="preserve">Administrator, property manager</w:t>
            </w:r>
          </w:p>
        </w:tc>
      </w:tr>
      <w:tr>
        <w:tc>
          <w:tcPr>
            <w:tcW w:w="2800" w:type="dxa"/>
          </w:tcPr>
          <w:p>
            <w:r>
              <w:rPr>
                <w:color w:val="000000"/>
                <w:sz w:val="18"/>
                <w:szCs w:val="18"/>
                <w:rFonts w:ascii="Aptos" w:hAnsi="Aptos"/>
              </w:rPr>
              <w:t xml:space="preserve">Owners, properties, units, tenants, leases</w:t>
            </w:r>
          </w:p>
        </w:tc>
        <w:tc>
          <w:tcPr>
            <w:tcW w:w="4000" w:type="dxa"/>
          </w:tcPr>
          <w:p>
            <w:r>
              <w:rPr>
                <w:color w:val="000000"/>
                <w:sz w:val="18"/>
                <w:szCs w:val="18"/>
                <w:rFonts w:ascii="Aptos" w:hAnsi="Aptos"/>
              </w:rPr>
              <w:t xml:space="preserve">Administrator, property manager, reception staff, owner</w:t>
            </w:r>
          </w:p>
        </w:tc>
      </w:tr>
      <w:tr>
        <w:tc>
          <w:tcPr>
            <w:tcW w:w="2800" w:type="dxa"/>
            <w:shd w:fill="EAF2F8"/>
          </w:tcPr>
          <w:p>
            <w:r>
              <w:rPr>
                <w:color w:val="000000"/>
                <w:sz w:val="18"/>
                <w:szCs w:val="18"/>
                <w:rFonts w:ascii="Aptos" w:hAnsi="Aptos"/>
              </w:rPr>
              <w:t xml:space="preserve">Rent invoices and payments</w:t>
            </w:r>
          </w:p>
        </w:tc>
        <w:tc>
          <w:tcPr>
            <w:tcW w:w="4000" w:type="dxa"/>
            <w:shd w:fill="EAF2F8"/>
          </w:tcPr>
          <w:p>
            <w:r>
              <w:rPr>
                <w:color w:val="000000"/>
                <w:sz w:val="18"/>
                <w:szCs w:val="18"/>
                <w:rFonts w:ascii="Aptos" w:hAnsi="Aptos"/>
              </w:rPr>
              <w:t xml:space="preserve">Administrator, accountant, owner, property manager</w:t>
            </w:r>
          </w:p>
        </w:tc>
      </w:tr>
      <w:tr>
        <w:tc>
          <w:tcPr>
            <w:tcW w:w="2800" w:type="dxa"/>
          </w:tcPr>
          <w:p>
            <w:r>
              <w:rPr>
                <w:color w:val="000000"/>
                <w:sz w:val="18"/>
                <w:szCs w:val="18"/>
                <w:rFonts w:ascii="Aptos" w:hAnsi="Aptos"/>
              </w:rPr>
              <w:t xml:space="preserve">Maintenance categories, requests, expenses</w:t>
            </w:r>
          </w:p>
        </w:tc>
        <w:tc>
          <w:tcPr>
            <w:tcW w:w="4000" w:type="dxa"/>
          </w:tcPr>
          <w:p>
            <w:r>
              <w:rPr>
                <w:color w:val="000000"/>
                <w:sz w:val="18"/>
                <w:szCs w:val="18"/>
                <w:rFonts w:ascii="Aptos" w:hAnsi="Aptos"/>
              </w:rPr>
              <w:t xml:space="preserve">Administrator, property manager, maintenance staff</w:t>
            </w:r>
          </w:p>
        </w:tc>
      </w:tr>
      <w:tr>
        <w:tc>
          <w:tcPr>
            <w:tcW w:w="2800" w:type="dxa"/>
            <w:shd w:fill="EAF2F8"/>
          </w:tcPr>
          <w:p>
            <w:r>
              <w:rPr>
                <w:color w:val="000000"/>
                <w:sz w:val="18"/>
                <w:szCs w:val="18"/>
                <w:rFonts w:ascii="Aptos" w:hAnsi="Aptos"/>
              </w:rPr>
              <w:t xml:space="preserve">Reports and Excel export</w:t>
            </w:r>
          </w:p>
        </w:tc>
        <w:tc>
          <w:tcPr>
            <w:tcW w:w="4000" w:type="dxa"/>
            <w:shd w:fill="EAF2F8"/>
          </w:tcPr>
          <w:p>
            <w:r>
              <w:rPr>
                <w:color w:val="000000"/>
                <w:sz w:val="18"/>
                <w:szCs w:val="18"/>
                <w:rFonts w:ascii="Aptos" w:hAnsi="Aptos"/>
              </w:rPr>
              <w:t xml:space="preserve">Administrator, property manager, accountant</w:t>
            </w:r>
          </w:p>
        </w:tc>
      </w:tr>
      <w:tr>
        <w:tc>
          <w:tcPr>
            <w:tcW w:w="2800" w:type="dxa"/>
          </w:tcPr>
          <w:p>
            <w:r>
              <w:rPr>
                <w:color w:val="000000"/>
                <w:sz w:val="18"/>
                <w:szCs w:val="18"/>
                <w:rFonts w:ascii="Aptos" w:hAnsi="Aptos"/>
              </w:rPr>
              <w:t xml:space="preserve">Settings, profile, support, notifications</w:t>
            </w:r>
          </w:p>
        </w:tc>
        <w:tc>
          <w:tcPr>
            <w:tcW w:w="4000" w:type="dxa"/>
          </w:tcPr>
          <w:p>
            <w:r>
              <w:rPr>
                <w:color w:val="000000"/>
                <w:sz w:val="18"/>
                <w:szCs w:val="18"/>
                <w:rFonts w:ascii="Aptos" w:hAnsi="Aptos"/>
              </w:rPr>
              <w:t xml:space="preserve">All authenticated users</w:t>
            </w:r>
          </w:p>
        </w:tc>
      </w:tr>
      <w:tr>
        <w:tc>
          <w:tcPr>
            <w:tcW w:w="2800" w:type="dxa"/>
            <w:shd w:fill="EAF2F8"/>
          </w:tcPr>
          <w:p>
            <w:r>
              <w:rPr>
                <w:color w:val="000000"/>
                <w:sz w:val="18"/>
                <w:szCs w:val="18"/>
                <w:rFonts w:ascii="Aptos" w:hAnsi="Aptos"/>
              </w:rPr>
              <w:t xml:space="preserve">Tenant portal</w:t>
            </w:r>
          </w:p>
        </w:tc>
        <w:tc>
          <w:tcPr>
            <w:tcW w:w="4000" w:type="dxa"/>
            <w:shd w:fill="EAF2F8"/>
          </w:tcPr>
          <w:p>
            <w:r>
              <w:rPr>
                <w:color w:val="000000"/>
                <w:sz w:val="18"/>
                <w:szCs w:val="18"/>
                <w:rFonts w:ascii="Aptos" w:hAnsi="Aptos"/>
              </w:rPr>
              <w:t xml:space="preserve">Tenant role only</w:t>
            </w:r>
          </w:p>
        </w:tc>
      </w:tr>
    </w:tbl>
    <w:p/>
    <w:p>
      <w:pPr>
        <w:pStyle w:val="H1"/>
        <w:pageBreakBefore/>
      </w:pPr>
      <w:r>
        <w:rPr>
          <w:b/>
          <w:color w:val="000000"/>
          <w:sz w:val="30"/>
          <w:szCs w:val="30"/>
          <w:rFonts w:ascii="Aptos" w:hAnsi="Aptos"/>
        </w:rPr>
        <w:t xml:space="preserve">9  Safe working practices and troubleshooting</w:t>
      </w:r>
    </w:p>
    <w:p>
      <w:pPr>
        <w:pStyle w:val="H2"/>
      </w:pPr>
      <w:r>
        <w:rPr>
          <w:b/>
          <w:color w:val="000000"/>
          <w:sz w:val="24"/>
          <w:szCs w:val="24"/>
          <w:rFonts w:ascii="Aptos" w:hAnsi="Aptos"/>
        </w:rPr>
        <w:t xml:space="preserve">Protect records and privacy</w:t>
      </w:r>
    </w:p>
    <w:p>
      <w:pPr>
        <w:pStyle w:val="ListBullet"/>
      </w:pPr>
      <w:r>
        <w:rPr>
          <w:color w:val="000000"/>
          <w:sz w:val="20"/>
          <w:szCs w:val="20"/>
          <w:rFonts w:ascii="Aptos" w:hAnsi="Aptos"/>
        </w:rPr>
        <w:t xml:space="preserve">Work under your own account. Do not share passwords or leave a signed-in session unattended.</w:t>
      </w:r>
    </w:p>
    <w:p>
      <w:pPr>
        <w:pStyle w:val="ListBullet"/>
      </w:pPr>
      <w:r>
        <w:rPr>
          <w:color w:val="000000"/>
          <w:sz w:val="20"/>
          <w:szCs w:val="20"/>
          <w:rFonts w:ascii="Aptos" w:hAnsi="Aptos"/>
        </w:rPr>
        <w:t xml:space="preserve">Verify the property, unit, tenant, lease, currency, amount, and billing period before saving financial records.</w:t>
      </w:r>
    </w:p>
    <w:p>
      <w:pPr>
        <w:pStyle w:val="ListBullet"/>
      </w:pPr>
      <w:r>
        <w:rPr>
          <w:color w:val="000000"/>
          <w:sz w:val="20"/>
          <w:szCs w:val="20"/>
          <w:rFonts w:ascii="Aptos" w:hAnsi="Aptos"/>
        </w:rPr>
        <w:t xml:space="preserve">Use notes and descriptions to record facts, not passwords, PINs, or unnecessary sensitive data.</w:t>
      </w:r>
    </w:p>
    <w:p>
      <w:pPr>
        <w:pStyle w:val="ListBullet"/>
      </w:pPr>
      <w:r>
        <w:rPr>
          <w:color w:val="000000"/>
          <w:sz w:val="20"/>
          <w:szCs w:val="20"/>
          <w:rFonts w:ascii="Aptos" w:hAnsi="Aptos"/>
        </w:rPr>
        <w:t xml:space="preserve">Download receipts and reports only to approved storage locations.</w:t>
      </w:r>
    </w:p>
    <w:p>
      <w:pPr>
        <w:pStyle w:val="ListBullet"/>
      </w:pPr>
      <w:r>
        <w:rPr>
          <w:color w:val="000000"/>
          <w:sz w:val="20"/>
          <w:szCs w:val="20"/>
          <w:rFonts w:ascii="Aptos" w:hAnsi="Aptos"/>
        </w:rPr>
        <w:t xml:space="preserve">Use notifications and support requests for traceable follow-up.</w:t>
      </w:r>
    </w:p>
    <w:p>
      <w:pPr>
        <w:pStyle w:val="H2"/>
      </w:pPr>
      <w:r>
        <w:rPr>
          <w:b/>
          <w:color w:val="000000"/>
          <w:sz w:val="24"/>
          <w:szCs w:val="24"/>
          <w:rFonts w:ascii="Aptos" w:hAnsi="Aptos"/>
        </w:rPr>
        <w:t xml:space="preserve">Common situations</w:t>
      </w:r>
    </w:p>
    <w:tbl>
      <w:tblPr>
        <w:tblW w:w="0" w:type="auto"/>
        <w:tblBorders>
          <w:top w:val="single" w:sz="6" w:color="D9D9D9"/>
          <w:left w:val="single" w:sz="6" w:color="D9D9D9"/>
          <w:bottom w:val="single" w:sz="6" w:color="D9D9D9"/>
          <w:right w:val="single" w:sz="6" w:color="D9D9D9"/>
          <w:insideH w:val="single" w:sz="6" w:color="D9D9D9"/>
          <w:insideV w:val="single" w:sz="6" w:color="D9D9D9"/>
        </w:tblBorders>
        <w:tblCellMar>
          <w:top w:w="90" w:type="dxa"/>
          <w:left w:w="120" w:type="dxa"/>
          <w:bottom w:w="90" w:type="dxa"/>
          <w:right w:w="120" w:type="dxa"/>
        </w:tblCellMar>
      </w:tblPr>
      <w:tblGrid>
        <w:gridCol w:w="2200"/>
        <w:gridCol w:w="4600"/>
      </w:tblGrid>
      <w:tr>
        <w:trPr>
          <w:tblHeader/>
        </w:trPr>
        <w:tc>
          <w:tcPr>
            <w:tcW w:w="2200" w:type="dxa"/>
            <w:shd w:fill="163A5F"/>
          </w:tcPr>
          <w:p>
            <w:r>
              <w:rPr>
                <w:b/>
                <w:color w:val="FFFFFF"/>
                <w:sz w:val="19"/>
                <w:szCs w:val="19"/>
                <w:rFonts w:ascii="Aptos" w:hAnsi="Aptos"/>
              </w:rPr>
              <w:t xml:space="preserve">Situation</w:t>
            </w:r>
          </w:p>
        </w:tc>
        <w:tc>
          <w:tcPr>
            <w:tcW w:w="4600" w:type="dxa"/>
            <w:shd w:fill="163A5F"/>
          </w:tcPr>
          <w:p>
            <w:r>
              <w:rPr>
                <w:b/>
                <w:color w:val="FFFFFF"/>
                <w:sz w:val="19"/>
                <w:szCs w:val="19"/>
                <w:rFonts w:ascii="Aptos" w:hAnsi="Aptos"/>
              </w:rPr>
              <w:t xml:space="preserve">What to do</w:t>
            </w:r>
          </w:p>
        </w:tc>
      </w:tr>
      <w:tr>
        <w:tc>
          <w:tcPr>
            <w:tcW w:w="2200" w:type="dxa"/>
          </w:tcPr>
          <w:p>
            <w:r>
              <w:rPr>
                <w:color w:val="000000"/>
                <w:sz w:val="18"/>
                <w:szCs w:val="18"/>
                <w:rFonts w:ascii="Aptos" w:hAnsi="Aptos"/>
              </w:rPr>
              <w:t xml:space="preserve">A menu or button is not visible</w:t>
            </w:r>
          </w:p>
        </w:tc>
        <w:tc>
          <w:tcPr>
            <w:tcW w:w="4600" w:type="dxa"/>
          </w:tcPr>
          <w:p>
            <w:r>
              <w:rPr>
                <w:color w:val="000000"/>
                <w:sz w:val="18"/>
                <w:szCs w:val="18"/>
                <w:rFonts w:ascii="Aptos" w:hAnsi="Aptos"/>
              </w:rPr>
              <w:t xml:space="preserve">Confirm your role and sign in again. If it remains unavailable, ask an administrator to check your access.</w:t>
            </w:r>
          </w:p>
        </w:tc>
      </w:tr>
      <w:tr>
        <w:tc>
          <w:tcPr>
            <w:tcW w:w="2200" w:type="dxa"/>
            <w:shd w:fill="EAF2F8"/>
          </w:tcPr>
          <w:p>
            <w:r>
              <w:rPr>
                <w:color w:val="000000"/>
                <w:sz w:val="18"/>
                <w:szCs w:val="18"/>
                <w:rFonts w:ascii="Aptos" w:hAnsi="Aptos"/>
              </w:rPr>
              <w:t xml:space="preserve">Invoice cannot be edited, cancelled, or deleted</w:t>
            </w:r>
          </w:p>
        </w:tc>
        <w:tc>
          <w:tcPr>
            <w:tcW w:w="4600" w:type="dxa"/>
            <w:shd w:fill="EAF2F8"/>
          </w:tcPr>
          <w:p>
            <w:r>
              <w:rPr>
                <w:color w:val="000000"/>
                <w:sz w:val="18"/>
                <w:szCs w:val="18"/>
                <w:rFonts w:ascii="Aptos" w:hAnsi="Aptos"/>
              </w:rPr>
              <w:t xml:space="preserve">Check for payments or tenant-credit allocations. Financial activity protects the record; use the approved correction process.</w:t>
            </w:r>
          </w:p>
        </w:tc>
      </w:tr>
      <w:tr>
        <w:tc>
          <w:tcPr>
            <w:tcW w:w="2200" w:type="dxa"/>
          </w:tcPr>
          <w:p>
            <w:r>
              <w:rPr>
                <w:color w:val="000000"/>
                <w:sz w:val="18"/>
                <w:szCs w:val="18"/>
                <w:rFonts w:ascii="Aptos" w:hAnsi="Aptos"/>
              </w:rPr>
              <w:t xml:space="preserve">M-Pesa action fails or is unavailable</w:t>
            </w:r>
          </w:p>
        </w:tc>
        <w:tc>
          <w:tcPr>
            <w:tcW w:w="4600" w:type="dxa"/>
          </w:tcPr>
          <w:p>
            <w:r>
              <w:rPr>
                <w:color w:val="000000"/>
                <w:sz w:val="18"/>
                <w:szCs w:val="18"/>
                <w:rFonts w:ascii="Aptos" w:hAnsi="Aptos"/>
              </w:rPr>
              <w:t xml:space="preserve">Confirm that the invoice is KES, has an outstanding balance, the amount is a whole number, and the mobile number is correct.</w:t>
            </w:r>
          </w:p>
        </w:tc>
      </w:tr>
      <w:tr>
        <w:tc>
          <w:tcPr>
            <w:tcW w:w="2200" w:type="dxa"/>
            <w:shd w:fill="EAF2F8"/>
          </w:tcPr>
          <w:p>
            <w:r>
              <w:rPr>
                <w:color w:val="000000"/>
                <w:sz w:val="18"/>
                <w:szCs w:val="18"/>
                <w:rFonts w:ascii="Aptos" w:hAnsi="Aptos"/>
              </w:rPr>
              <w:t xml:space="preserve">Duplicate invoice warning</w:t>
            </w:r>
          </w:p>
        </w:tc>
        <w:tc>
          <w:tcPr>
            <w:tcW w:w="4600" w:type="dxa"/>
            <w:shd w:fill="EAF2F8"/>
          </w:tcPr>
          <w:p>
            <w:r>
              <w:rPr>
                <w:color w:val="000000"/>
                <w:sz w:val="18"/>
                <w:szCs w:val="18"/>
                <w:rFonts w:ascii="Aptos" w:hAnsi="Aptos"/>
              </w:rPr>
              <w:t xml:space="preserve">Do not create another invoice. Locate the existing invoice for that lease and billing period.</w:t>
            </w:r>
          </w:p>
        </w:tc>
      </w:tr>
      <w:tr>
        <w:tc>
          <w:tcPr>
            <w:tcW w:w="2200" w:type="dxa"/>
          </w:tcPr>
          <w:p>
            <w:r>
              <w:rPr>
                <w:color w:val="000000"/>
                <w:sz w:val="18"/>
                <w:szCs w:val="18"/>
                <w:rFonts w:ascii="Aptos" w:hAnsi="Aptos"/>
              </w:rPr>
              <w:t xml:space="preserve">Tenant cannot access the portal</w:t>
            </w:r>
          </w:p>
        </w:tc>
        <w:tc>
          <w:tcPr>
            <w:tcW w:w="4600" w:type="dxa"/>
          </w:tcPr>
          <w:p>
            <w:r>
              <w:rPr>
                <w:color w:val="000000"/>
                <w:sz w:val="18"/>
                <w:szCs w:val="18"/>
                <w:rFonts w:ascii="Aptos" w:hAnsi="Aptos"/>
              </w:rPr>
              <w:t xml:space="preserve">Open the tenant record and confirm a portal account exists and portal access is enabled.</w:t>
            </w:r>
          </w:p>
        </w:tc>
      </w:tr>
      <w:tr>
        <w:tc>
          <w:tcPr>
            <w:tcW w:w="2200" w:type="dxa"/>
            <w:shd w:fill="EAF2F8"/>
          </w:tcPr>
          <w:p>
            <w:r>
              <w:rPr>
                <w:color w:val="000000"/>
                <w:sz w:val="18"/>
                <w:szCs w:val="18"/>
                <w:rFonts w:ascii="Aptos" w:hAnsi="Aptos"/>
              </w:rPr>
              <w:t xml:space="preserve">Need help with an error</w:t>
            </w:r>
          </w:p>
        </w:tc>
        <w:tc>
          <w:tcPr>
            <w:tcW w:w="4600" w:type="dxa"/>
            <w:shd w:fill="EAF2F8"/>
          </w:tcPr>
          <w:p>
            <w:r>
              <w:rPr>
                <w:color w:val="000000"/>
                <w:sz w:val="18"/>
                <w:szCs w:val="18"/>
                <w:rFonts w:ascii="Aptos" w:hAnsi="Aptos"/>
              </w:rPr>
              <w:t xml:space="preserve">Open Support, select the category, include what you were doing, the record reference, and the message shown. Do not include passwords or PINs.</w:t>
            </w:r>
          </w:p>
        </w:tc>
      </w:tr>
    </w:tbl>
    <w:p/>
    <w:p>
      <w:pPr>
        <w:pStyle w:val="H1"/>
      </w:pPr>
      <w:r>
        <w:rPr>
          <w:b/>
          <w:color w:val="000000"/>
          <w:sz w:val="30"/>
          <w:szCs w:val="30"/>
          <w:rFonts w:ascii="Aptos" w:hAnsi="Aptos"/>
        </w:rPr>
        <w:t xml:space="preserve">10  Reference checklist</w:t>
      </w:r>
    </w:p>
    <w:p>
      <w:pPr>
        <w:pStyle w:val="H2"/>
      </w:pPr>
      <w:r>
        <w:rPr>
          <w:b/>
          <w:color w:val="000000"/>
          <w:sz w:val="24"/>
          <w:szCs w:val="24"/>
          <w:rFonts w:ascii="Aptos" w:hAnsi="Aptos"/>
        </w:rPr>
        <w:t xml:space="preserve">Monthly operations checklist</w:t>
      </w:r>
    </w:p>
    <w:p>
      <w:pPr>
        <w:pStyle w:val="ListBullet"/>
      </w:pPr>
      <w:r>
        <w:rPr>
          <w:color w:val="000000"/>
          <w:sz w:val="20"/>
          <w:szCs w:val="20"/>
          <w:rFonts w:ascii="Aptos" w:hAnsi="Aptos"/>
        </w:rPr>
        <w:t xml:space="preserve">Confirm active leases and valid monthly rents before billing.</w:t>
      </w:r>
    </w:p>
    <w:p>
      <w:pPr>
        <w:pStyle w:val="ListBullet"/>
      </w:pPr>
      <w:r>
        <w:rPr>
          <w:color w:val="000000"/>
          <w:sz w:val="20"/>
          <w:szCs w:val="20"/>
          <w:rFonts w:ascii="Aptos" w:hAnsi="Aptos"/>
        </w:rPr>
        <w:t xml:space="preserve">Create invoices once per active lease and billing period.</w:t>
      </w:r>
    </w:p>
    <w:p>
      <w:pPr>
        <w:pStyle w:val="ListBullet"/>
      </w:pPr>
      <w:r>
        <w:rPr>
          <w:color w:val="000000"/>
          <w:sz w:val="20"/>
          <w:szCs w:val="20"/>
          <w:rFonts w:ascii="Aptos" w:hAnsi="Aptos"/>
        </w:rPr>
        <w:t xml:space="preserve">Review due dates and outstanding balances.</w:t>
      </w:r>
    </w:p>
    <w:p>
      <w:pPr>
        <w:pStyle w:val="ListBullet"/>
      </w:pPr>
      <w:r>
        <w:rPr>
          <w:color w:val="000000"/>
          <w:sz w:val="20"/>
          <w:szCs w:val="20"/>
          <w:rFonts w:ascii="Aptos" w:hAnsi="Aptos"/>
        </w:rPr>
        <w:t xml:space="preserve">Record or reconcile received payments, then issue or download receipts.</w:t>
      </w:r>
    </w:p>
    <w:p>
      <w:pPr>
        <w:pStyle w:val="ListBullet"/>
      </w:pPr>
      <w:r>
        <w:rPr>
          <w:color w:val="000000"/>
          <w:sz w:val="20"/>
          <w:szCs w:val="20"/>
          <w:rFonts w:ascii="Aptos" w:hAnsi="Aptos"/>
        </w:rPr>
        <w:t xml:space="preserve">Review open maintenance requests and related costs.</w:t>
      </w:r>
    </w:p>
    <w:p>
      <w:pPr>
        <w:pStyle w:val="ListBullet"/>
      </w:pPr>
      <w:r>
        <w:rPr>
          <w:color w:val="000000"/>
          <w:sz w:val="20"/>
          <w:szCs w:val="20"/>
          <w:rFonts w:ascii="Aptos" w:hAnsi="Aptos"/>
        </w:rPr>
        <w:t xml:space="preserve">Run and save required management reports.</w:t>
      </w:r>
    </w:p>
    <w:p>
      <w:pPr>
        <w:pStyle w:val="H2"/>
      </w:pPr>
      <w:r>
        <w:rPr>
          <w:b/>
          <w:color w:val="000000"/>
          <w:sz w:val="24"/>
          <w:szCs w:val="24"/>
          <w:rFonts w:ascii="Aptos" w:hAnsi="Aptos"/>
        </w:rPr>
        <w:t xml:space="preserve">When submitting a support request</w:t>
      </w:r>
    </w:p>
    <w:p>
      <w:pPr/>
      <w:r>
        <w:rPr>
          <w:color w:val="000000"/>
          <w:sz w:val="21"/>
          <w:szCs w:val="21"/>
          <w:rFonts w:ascii="Aptos" w:hAnsi="Aptos"/>
        </w:rPr>
        <w:t xml:space="preserve">Include the page or module name, record type and reference number, what you expected to happen, what actually happened, the exact on-screen message, and the time of the issue. This lets support investigate without requesting sensitive credentials.</w:t>
      </w:r>
    </w:p>
    <w:p>
      <w:pPr>
        <w:pStyle w:val="H1"/>
        <w:pageBreakBefore/>
      </w:pPr>
      <w:r>
        <w:rPr>
          <w:b/>
          <w:color w:val="000000"/>
          <w:sz w:val="30"/>
          <w:szCs w:val="30"/>
          <w:rFonts w:ascii="Aptos" w:hAnsi="Aptos"/>
        </w:rPr>
        <w:t xml:space="preserve">Screenshot reference guide</w:t>
      </w:r>
    </w:p>
    <w:p>
      <w:pPr/>
      <w:r>
        <w:rPr>
          <w:color w:val="000000"/>
          <w:sz w:val="21"/>
          <w:szCs w:val="21"/>
          <w:rFonts w:ascii="Aptos" w:hAnsi="Aptos"/>
        </w:rPr>
        <w:t xml:space="preserve">The following screens show the main areas described in this manual. Examples contain demonstration data and are included to help users recognise the pages and controls available in ImmoFlow.</w:t>
      </w:r>
    </w:p>
    <w:p>
      <w:pPr>
        <w:jc w:val="center"/>
        <w:spacing w:before="80" w:after="40"/>
      </w:pPr>
      <w:r>
        <w:drawing>
          <wp:inline distT="0" distB="0" distL="0" distR="0">
            <wp:extent cx="5850000" cy="3290625"/>
            <wp:effectExtent l="0" t="0" r="0" b="0"/>
            <wp:docPr id="1" name="Screenshot (25).png" descr="Figure 1. Administrator dashboard overview"/>
            <wp:cNvGraphicFramePr>
              <a:graphicFrameLocks noChangeAspect="1"/>
            </wp:cNvGraphicFramePr>
            <a:graphic>
              <a:graphicData uri="http://schemas.openxmlformats.org/drawingml/2006/picture">
                <pic:pic>
                  <pic:nvPicPr>
                    <pic:cNvPr id="0" name="Screenshot (25).png"/>
                    <pic:cNvPicPr/>
                  </pic:nvPicPr>
                  <pic:blipFill>
                    <a:blip r:embed="rId3"/>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1. Administrator dashboard overview</w:t>
      </w:r>
    </w:p>
    <w:p>
      <w:pPr>
        <w:jc w:val="center"/>
        <w:spacing w:before="80" w:after="40"/>
      </w:pPr>
      <w:r>
        <w:drawing>
          <wp:inline distT="0" distB="0" distL="0" distR="0">
            <wp:extent cx="5850000" cy="3290625"/>
            <wp:effectExtent l="0" t="0" r="0" b="0"/>
            <wp:docPr id="2" name="Screenshot (26).png" descr="Figure 2. Property owners directory"/>
            <wp:cNvGraphicFramePr>
              <a:graphicFrameLocks noChangeAspect="1"/>
            </wp:cNvGraphicFramePr>
            <a:graphic>
              <a:graphicData uri="http://schemas.openxmlformats.org/drawingml/2006/picture">
                <pic:pic>
                  <pic:nvPicPr>
                    <pic:cNvPr id="0" name="Screenshot (26).png"/>
                    <pic:cNvPicPr/>
                  </pic:nvPicPr>
                  <pic:blipFill>
                    <a:blip r:embed="rId4"/>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2. Property owners directory</w:t>
      </w:r>
    </w:p>
    <w:p>
      <w:r>
        <w:br w:type="page"/>
      </w:r>
    </w:p>
    <w:p>
      <w:pPr>
        <w:jc w:val="center"/>
        <w:spacing w:before="80" w:after="40"/>
      </w:pPr>
      <w:r>
        <w:drawing>
          <wp:inline distT="0" distB="0" distL="0" distR="0">
            <wp:extent cx="5850000" cy="3290625"/>
            <wp:effectExtent l="0" t="0" r="0" b="0"/>
            <wp:docPr id="3" name="Screenshot (27).png" descr="Figure 3. Properties directory"/>
            <wp:cNvGraphicFramePr>
              <a:graphicFrameLocks noChangeAspect="1"/>
            </wp:cNvGraphicFramePr>
            <a:graphic>
              <a:graphicData uri="http://schemas.openxmlformats.org/drawingml/2006/picture">
                <pic:pic>
                  <pic:nvPicPr>
                    <pic:cNvPr id="0" name="Screenshot (27).png"/>
                    <pic:cNvPicPr/>
                  </pic:nvPicPr>
                  <pic:blipFill>
                    <a:blip r:embed="rId5"/>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3. Properties directory</w:t>
      </w:r>
    </w:p>
    <w:p>
      <w:pPr>
        <w:jc w:val="center"/>
        <w:spacing w:before="80" w:after="40"/>
      </w:pPr>
      <w:r>
        <w:drawing>
          <wp:inline distT="0" distB="0" distL="0" distR="0">
            <wp:extent cx="5850000" cy="3290625"/>
            <wp:effectExtent l="0" t="0" r="0" b="0"/>
            <wp:docPr id="4" name="Screenshot (28).png" descr="Figure 4. Units directory"/>
            <wp:cNvGraphicFramePr>
              <a:graphicFrameLocks noChangeAspect="1"/>
            </wp:cNvGraphicFramePr>
            <a:graphic>
              <a:graphicData uri="http://schemas.openxmlformats.org/drawingml/2006/picture">
                <pic:pic>
                  <pic:nvPicPr>
                    <pic:cNvPr id="0" name="Screenshot (28).png"/>
                    <pic:cNvPicPr/>
                  </pic:nvPicPr>
                  <pic:blipFill>
                    <a:blip r:embed="rId6"/>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4. Units directory</w:t>
      </w:r>
    </w:p>
    <w:p>
      <w:r>
        <w:br w:type="page"/>
      </w:r>
    </w:p>
    <w:p>
      <w:pPr>
        <w:jc w:val="center"/>
        <w:spacing w:before="80" w:after="40"/>
      </w:pPr>
      <w:r>
        <w:drawing>
          <wp:inline distT="0" distB="0" distL="0" distR="0">
            <wp:extent cx="5850000" cy="3290625"/>
            <wp:effectExtent l="0" t="0" r="0" b="0"/>
            <wp:docPr id="5" name="Screenshot (29).png" descr="Figure 5. Property types directory"/>
            <wp:cNvGraphicFramePr>
              <a:graphicFrameLocks noChangeAspect="1"/>
            </wp:cNvGraphicFramePr>
            <a:graphic>
              <a:graphicData uri="http://schemas.openxmlformats.org/drawingml/2006/picture">
                <pic:pic>
                  <pic:nvPicPr>
                    <pic:cNvPr id="0" name="Screenshot (29).png"/>
                    <pic:cNvPicPr/>
                  </pic:nvPicPr>
                  <pic:blipFill>
                    <a:blip r:embed="rId7"/>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5. Property types directory</w:t>
      </w:r>
    </w:p>
    <w:p>
      <w:pPr>
        <w:jc w:val="center"/>
        <w:spacing w:before="80" w:after="40"/>
      </w:pPr>
      <w:r>
        <w:drawing>
          <wp:inline distT="0" distB="0" distL="0" distR="0">
            <wp:extent cx="5850000" cy="3290625"/>
            <wp:effectExtent l="0" t="0" r="0" b="0"/>
            <wp:docPr id="6" name="Screenshot (30).png" descr="Figure 6. Tenants directory"/>
            <wp:cNvGraphicFramePr>
              <a:graphicFrameLocks noChangeAspect="1"/>
            </wp:cNvGraphicFramePr>
            <a:graphic>
              <a:graphicData uri="http://schemas.openxmlformats.org/drawingml/2006/picture">
                <pic:pic>
                  <pic:nvPicPr>
                    <pic:cNvPr id="0" name="Screenshot (30).png"/>
                    <pic:cNvPicPr/>
                  </pic:nvPicPr>
                  <pic:blipFill>
                    <a:blip r:embed="rId8"/>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6. Tenants directory</w:t>
      </w:r>
    </w:p>
    <w:p>
      <w:r>
        <w:br w:type="page"/>
      </w:r>
    </w:p>
    <w:p>
      <w:pPr>
        <w:jc w:val="center"/>
        <w:spacing w:before="80" w:after="40"/>
      </w:pPr>
      <w:r>
        <w:drawing>
          <wp:inline distT="0" distB="0" distL="0" distR="0">
            <wp:extent cx="5850000" cy="3290625"/>
            <wp:effectExtent l="0" t="0" r="0" b="0"/>
            <wp:docPr id="7" name="Screenshot (31).png" descr="Figure 7. Lease directory"/>
            <wp:cNvGraphicFramePr>
              <a:graphicFrameLocks noChangeAspect="1"/>
            </wp:cNvGraphicFramePr>
            <a:graphic>
              <a:graphicData uri="http://schemas.openxmlformats.org/drawingml/2006/picture">
                <pic:pic>
                  <pic:nvPicPr>
                    <pic:cNvPr id="0" name="Screenshot (31).png"/>
                    <pic:cNvPicPr/>
                  </pic:nvPicPr>
                  <pic:blipFill>
                    <a:blip r:embed="rId9"/>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7. Lease directory</w:t>
      </w:r>
    </w:p>
    <w:p>
      <w:pPr>
        <w:jc w:val="center"/>
        <w:spacing w:before="80" w:after="40"/>
      </w:pPr>
      <w:r>
        <w:drawing>
          <wp:inline distT="0" distB="0" distL="0" distR="0">
            <wp:extent cx="5850000" cy="3290625"/>
            <wp:effectExtent l="0" t="0" r="0" b="0"/>
            <wp:docPr id="8" name="Screenshot (32).png" descr="Figure 8. Rent invoices directory"/>
            <wp:cNvGraphicFramePr>
              <a:graphicFrameLocks noChangeAspect="1"/>
            </wp:cNvGraphicFramePr>
            <a:graphic>
              <a:graphicData uri="http://schemas.openxmlformats.org/drawingml/2006/picture">
                <pic:pic>
                  <pic:nvPicPr>
                    <pic:cNvPr id="0" name="Screenshot (32).png"/>
                    <pic:cNvPicPr/>
                  </pic:nvPicPr>
                  <pic:blipFill>
                    <a:blip r:embed="rId10"/>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8. Rent invoices directory</w:t>
      </w:r>
    </w:p>
    <w:p>
      <w:r>
        <w:br w:type="page"/>
      </w:r>
    </w:p>
    <w:p>
      <w:pPr>
        <w:jc w:val="center"/>
        <w:spacing w:before="80" w:after="40"/>
      </w:pPr>
      <w:r>
        <w:drawing>
          <wp:inline distT="0" distB="0" distL="0" distR="0">
            <wp:extent cx="5850000" cy="3290625"/>
            <wp:effectExtent l="0" t="0" r="0" b="0"/>
            <wp:docPr id="9" name="Screenshot (33).png" descr="Figure 9. Payments overview"/>
            <wp:cNvGraphicFramePr>
              <a:graphicFrameLocks noChangeAspect="1"/>
            </wp:cNvGraphicFramePr>
            <a:graphic>
              <a:graphicData uri="http://schemas.openxmlformats.org/drawingml/2006/picture">
                <pic:pic>
                  <pic:nvPicPr>
                    <pic:cNvPr id="0" name="Screenshot (33).png"/>
                    <pic:cNvPicPr/>
                  </pic:nvPicPr>
                  <pic:blipFill>
                    <a:blip r:embed="rId11"/>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9. Payments overview</w:t>
      </w:r>
    </w:p>
    <w:p>
      <w:pPr>
        <w:jc w:val="center"/>
        <w:spacing w:before="80" w:after="40"/>
      </w:pPr>
      <w:r>
        <w:drawing>
          <wp:inline distT="0" distB="0" distL="0" distR="0">
            <wp:extent cx="5850000" cy="3290625"/>
            <wp:effectExtent l="0" t="0" r="0" b="0"/>
            <wp:docPr id="10" name="Screenshot (34).png" descr="Figure 10. Record payment Step 1 select an outstanding invoice"/>
            <wp:cNvGraphicFramePr>
              <a:graphicFrameLocks noChangeAspect="1"/>
            </wp:cNvGraphicFramePr>
            <a:graphic>
              <a:graphicData uri="http://schemas.openxmlformats.org/drawingml/2006/picture">
                <pic:pic>
                  <pic:nvPicPr>
                    <pic:cNvPr id="0" name="Screenshot (34).png"/>
                    <pic:cNvPicPr/>
                  </pic:nvPicPr>
                  <pic:blipFill>
                    <a:blip r:embed="rId12"/>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10. Record payment Step 1 select an outstanding invoice</w:t>
      </w:r>
    </w:p>
    <w:p>
      <w:r>
        <w:br w:type="page"/>
      </w:r>
    </w:p>
    <w:p>
      <w:pPr>
        <w:jc w:val="center"/>
        <w:spacing w:before="80" w:after="40"/>
      </w:pPr>
      <w:r>
        <w:drawing>
          <wp:inline distT="0" distB="0" distL="0" distR="0">
            <wp:extent cx="5850000" cy="3290625"/>
            <wp:effectExtent l="0" t="0" r="0" b="0"/>
            <wp:docPr id="11" name="Screenshot (35).png" descr="Figure 11. Record payment Step 2 enter payment details and choose a channel"/>
            <wp:cNvGraphicFramePr>
              <a:graphicFrameLocks noChangeAspect="1"/>
            </wp:cNvGraphicFramePr>
            <a:graphic>
              <a:graphicData uri="http://schemas.openxmlformats.org/drawingml/2006/picture">
                <pic:pic>
                  <pic:nvPicPr>
                    <pic:cNvPr id="0" name="Screenshot (35).png"/>
                    <pic:cNvPicPr/>
                  </pic:nvPicPr>
                  <pic:blipFill>
                    <a:blip r:embed="rId13"/>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11. Record payment Step 2 enter payment details and choose a channel</w:t>
      </w:r>
    </w:p>
    <w:p>
      <w:pPr>
        <w:jc w:val="center"/>
        <w:spacing w:before="80" w:after="40"/>
      </w:pPr>
      <w:r>
        <w:drawing>
          <wp:inline distT="0" distB="0" distL="0" distR="0">
            <wp:extent cx="5850000" cy="3290625"/>
            <wp:effectExtent l="0" t="0" r="0" b="0"/>
            <wp:docPr id="12" name="Screenshot (36).png" descr="Figure 12. M Pesa Express STK Push payment prompt"/>
            <wp:cNvGraphicFramePr>
              <a:graphicFrameLocks noChangeAspect="1"/>
            </wp:cNvGraphicFramePr>
            <a:graphic>
              <a:graphicData uri="http://schemas.openxmlformats.org/drawingml/2006/picture">
                <pic:pic>
                  <pic:nvPicPr>
                    <pic:cNvPr id="0" name="Screenshot (36).png"/>
                    <pic:cNvPicPr/>
                  </pic:nvPicPr>
                  <pic:blipFill>
                    <a:blip r:embed="rId14"/>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12. M Pesa Express STK Push payment prompt</w:t>
      </w:r>
    </w:p>
    <w:p>
      <w:r>
        <w:br w:type="page"/>
      </w:r>
    </w:p>
    <w:p>
      <w:pPr>
        <w:jc w:val="center"/>
        <w:spacing w:before="80" w:after="40"/>
      </w:pPr>
      <w:r>
        <w:drawing>
          <wp:inline distT="0" distB="0" distL="0" distR="0">
            <wp:extent cx="5850000" cy="3290625"/>
            <wp:effectExtent l="0" t="0" r="0" b="0"/>
            <wp:docPr id="13" name="Screenshot (37).png" descr="Figure 13. Maintenance requests"/>
            <wp:cNvGraphicFramePr>
              <a:graphicFrameLocks noChangeAspect="1"/>
            </wp:cNvGraphicFramePr>
            <a:graphic>
              <a:graphicData uri="http://schemas.openxmlformats.org/drawingml/2006/picture">
                <pic:pic>
                  <pic:nvPicPr>
                    <pic:cNvPr id="0" name="Screenshot (37).png"/>
                    <pic:cNvPicPr/>
                  </pic:nvPicPr>
                  <pic:blipFill>
                    <a:blip r:embed="rId15"/>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13. Maintenance requests</w:t>
      </w:r>
    </w:p>
    <w:p>
      <w:pPr>
        <w:jc w:val="center"/>
        <w:spacing w:before="80" w:after="40"/>
      </w:pPr>
      <w:r>
        <w:drawing>
          <wp:inline distT="0" distB="0" distL="0" distR="0">
            <wp:extent cx="5850000" cy="3290625"/>
            <wp:effectExtent l="0" t="0" r="0" b="0"/>
            <wp:docPr id="14" name="Screenshot (38).png" descr="Figure 14. Maintenance expenses"/>
            <wp:cNvGraphicFramePr>
              <a:graphicFrameLocks noChangeAspect="1"/>
            </wp:cNvGraphicFramePr>
            <a:graphic>
              <a:graphicData uri="http://schemas.openxmlformats.org/drawingml/2006/picture">
                <pic:pic>
                  <pic:nvPicPr>
                    <pic:cNvPr id="0" name="Screenshot (38).png"/>
                    <pic:cNvPicPr/>
                  </pic:nvPicPr>
                  <pic:blipFill>
                    <a:blip r:embed="rId16"/>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14. Maintenance expenses</w:t>
      </w:r>
    </w:p>
    <w:p>
      <w:r>
        <w:br w:type="page"/>
      </w:r>
    </w:p>
    <w:p>
      <w:pPr>
        <w:jc w:val="center"/>
        <w:spacing w:before="80" w:after="40"/>
      </w:pPr>
      <w:r>
        <w:drawing>
          <wp:inline distT="0" distB="0" distL="0" distR="0">
            <wp:extent cx="5850000" cy="3290625"/>
            <wp:effectExtent l="0" t="0" r="0" b="0"/>
            <wp:docPr id="15" name="Screenshot (39).png" descr="Figure 15. Reports and analytics filters and Excel export"/>
            <wp:cNvGraphicFramePr>
              <a:graphicFrameLocks noChangeAspect="1"/>
            </wp:cNvGraphicFramePr>
            <a:graphic>
              <a:graphicData uri="http://schemas.openxmlformats.org/drawingml/2006/picture">
                <pic:pic>
                  <pic:nvPicPr>
                    <pic:cNvPr id="0" name="Screenshot (39).png"/>
                    <pic:cNvPicPr/>
                  </pic:nvPicPr>
                  <pic:blipFill>
                    <a:blip r:embed="rId17"/>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15. Reports and analytics filters and Excel export</w:t>
      </w:r>
    </w:p>
    <w:p>
      <w:pPr>
        <w:jc w:val="center"/>
        <w:spacing w:before="80" w:after="40"/>
      </w:pPr>
      <w:r>
        <w:drawing>
          <wp:inline distT="0" distB="0" distL="0" distR="0">
            <wp:extent cx="5850000" cy="3290625"/>
            <wp:effectExtent l="0" t="0" r="0" b="0"/>
            <wp:docPr id="16" name="Screenshot (40).png" descr="Figure 16. System settings"/>
            <wp:cNvGraphicFramePr>
              <a:graphicFrameLocks noChangeAspect="1"/>
            </wp:cNvGraphicFramePr>
            <a:graphic>
              <a:graphicData uri="http://schemas.openxmlformats.org/drawingml/2006/picture">
                <pic:pic>
                  <pic:nvPicPr>
                    <pic:cNvPr id="0" name="Screenshot (40).png"/>
                    <pic:cNvPicPr/>
                  </pic:nvPicPr>
                  <pic:blipFill>
                    <a:blip r:embed="rId18"/>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16. System settings</w:t>
      </w:r>
    </w:p>
    <w:p>
      <w:r>
        <w:br w:type="page"/>
      </w:r>
    </w:p>
    <w:p>
      <w:pPr>
        <w:jc w:val="center"/>
        <w:spacing w:before="80" w:after="40"/>
      </w:pPr>
      <w:r>
        <w:drawing>
          <wp:inline distT="0" distB="0" distL="0" distR="0">
            <wp:extent cx="5850000" cy="3290625"/>
            <wp:effectExtent l="0" t="0" r="0" b="0"/>
            <wp:docPr id="17" name="Screenshot (41).png" descr="Figure 17. Help and Support with AI Help"/>
            <wp:cNvGraphicFramePr>
              <a:graphicFrameLocks noChangeAspect="1"/>
            </wp:cNvGraphicFramePr>
            <a:graphic>
              <a:graphicData uri="http://schemas.openxmlformats.org/drawingml/2006/picture">
                <pic:pic>
                  <pic:nvPicPr>
                    <pic:cNvPr id="0" name="Screenshot (41).png"/>
                    <pic:cNvPicPr/>
                  </pic:nvPicPr>
                  <pic:blipFill>
                    <a:blip r:embed="rId19"/>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17. Help and Support with AI Help</w:t>
      </w:r>
    </w:p>
    <w:p>
      <w:pPr>
        <w:jc w:val="center"/>
        <w:spacing w:before="80" w:after="40"/>
      </w:pPr>
      <w:r>
        <w:drawing>
          <wp:inline distT="0" distB="0" distL="0" distR="0">
            <wp:extent cx="5850000" cy="3290625"/>
            <wp:effectExtent l="0" t="0" r="0" b="0"/>
            <wp:docPr id="18" name="Screenshot (42).png" descr="Figure 18. My Profile"/>
            <wp:cNvGraphicFramePr>
              <a:graphicFrameLocks noChangeAspect="1"/>
            </wp:cNvGraphicFramePr>
            <a:graphic>
              <a:graphicData uri="http://schemas.openxmlformats.org/drawingml/2006/picture">
                <pic:pic>
                  <pic:nvPicPr>
                    <pic:cNvPr id="0" name="Screenshot (42).png"/>
                    <pic:cNvPicPr/>
                  </pic:nvPicPr>
                  <pic:blipFill>
                    <a:blip r:embed="rId20"/>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18. My Profile</w:t>
      </w:r>
    </w:p>
    <w:p>
      <w:r>
        <w:br w:type="page"/>
      </w:r>
    </w:p>
    <w:p>
      <w:pPr>
        <w:jc w:val="center"/>
        <w:spacing w:before="80" w:after="40"/>
      </w:pPr>
      <w:r>
        <w:drawing>
          <wp:inline distT="0" distB="0" distL="0" distR="0">
            <wp:extent cx="5850000" cy="3290625"/>
            <wp:effectExtent l="0" t="0" r="0" b="0"/>
            <wp:docPr id="19" name="Screenshot (43).png" descr="Figure 19. Tenant portal dashboard tenancy overview"/>
            <wp:cNvGraphicFramePr>
              <a:graphicFrameLocks noChangeAspect="1"/>
            </wp:cNvGraphicFramePr>
            <a:graphic>
              <a:graphicData uri="http://schemas.openxmlformats.org/drawingml/2006/picture">
                <pic:pic>
                  <pic:nvPicPr>
                    <pic:cNvPr id="0" name="Screenshot (43).png"/>
                    <pic:cNvPicPr/>
                  </pic:nvPicPr>
                  <pic:blipFill>
                    <a:blip r:embed="rId21"/>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19. Tenant portal dashboard tenancy overview</w:t>
      </w:r>
    </w:p>
    <w:p>
      <w:pPr>
        <w:jc w:val="center"/>
        <w:spacing w:before="80" w:after="40"/>
      </w:pPr>
      <w:r>
        <w:drawing>
          <wp:inline distT="0" distB="0" distL="0" distR="0">
            <wp:extent cx="5850000" cy="3290625"/>
            <wp:effectExtent l="0" t="0" r="0" b="0"/>
            <wp:docPr id="20" name="Screenshot (44).png" descr="Figure 20. Tenant portal quick actions"/>
            <wp:cNvGraphicFramePr>
              <a:graphicFrameLocks noChangeAspect="1"/>
            </wp:cNvGraphicFramePr>
            <a:graphic>
              <a:graphicData uri="http://schemas.openxmlformats.org/drawingml/2006/picture">
                <pic:pic>
                  <pic:nvPicPr>
                    <pic:cNvPr id="0" name="Screenshot (44).png"/>
                    <pic:cNvPicPr/>
                  </pic:nvPicPr>
                  <pic:blipFill>
                    <a:blip r:embed="rId22"/>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20. Tenant portal quick actions</w:t>
      </w:r>
    </w:p>
    <w:p>
      <w:r>
        <w:br w:type="page"/>
      </w:r>
    </w:p>
    <w:p>
      <w:pPr>
        <w:jc w:val="center"/>
        <w:spacing w:before="80" w:after="40"/>
      </w:pPr>
      <w:r>
        <w:drawing>
          <wp:inline distT="0" distB="0" distL="0" distR="0">
            <wp:extent cx="5850000" cy="3290625"/>
            <wp:effectExtent l="0" t="0" r="0" b="0"/>
            <wp:docPr id="21" name="Screenshot (45).png" descr="Figure 21. Owner portfolio dashboard"/>
            <wp:cNvGraphicFramePr>
              <a:graphicFrameLocks noChangeAspect="1"/>
            </wp:cNvGraphicFramePr>
            <a:graphic>
              <a:graphicData uri="http://schemas.openxmlformats.org/drawingml/2006/picture">
                <pic:pic>
                  <pic:nvPicPr>
                    <pic:cNvPr id="0" name="Screenshot (45).png"/>
                    <pic:cNvPicPr/>
                  </pic:nvPicPr>
                  <pic:blipFill>
                    <a:blip r:embed="rId23"/>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21. Owner portfolio dashboard</w:t>
      </w:r>
    </w:p>
    <w:p>
      <w:pPr>
        <w:jc w:val="center"/>
        <w:spacing w:before="80" w:after="40"/>
      </w:pPr>
      <w:r>
        <w:drawing>
          <wp:inline distT="0" distB="0" distL="0" distR="0">
            <wp:extent cx="5850000" cy="3290625"/>
            <wp:effectExtent l="0" t="0" r="0" b="0"/>
            <wp:docPr id="22" name="Screenshot (46).png" descr="Figure 22. Owner financial status and revenue analytics"/>
            <wp:cNvGraphicFramePr>
              <a:graphicFrameLocks noChangeAspect="1"/>
            </wp:cNvGraphicFramePr>
            <a:graphic>
              <a:graphicData uri="http://schemas.openxmlformats.org/drawingml/2006/picture">
                <pic:pic>
                  <pic:nvPicPr>
                    <pic:cNvPr id="0" name="Screenshot (46).png"/>
                    <pic:cNvPicPr/>
                  </pic:nvPicPr>
                  <pic:blipFill>
                    <a:blip r:embed="rId24"/>
                    <a:stretch>
                      <a:fillRect/>
                    </a:stretch>
                  </pic:blipFill>
                  <pic:spPr>
                    <a:xfrm>
                      <a:off x="0" y="0"/>
                      <a:ext cx="5850000" cy="3290625"/>
                    </a:xfrm>
                    <a:prstGeom prst="rect">
                      <a:avLst/>
                    </a:prstGeom>
                  </pic:spPr>
                </pic:pic>
              </a:graphicData>
            </a:graphic>
          </wp:inline>
        </w:drawing>
      </w:r>
    </w:p>
    <w:p>
      <w:pPr>
        <w:jc w:val="center"/>
        <w:spacing w:after="130"/>
      </w:pPr>
      <w:r>
        <w:rPr>
          <w:color w:val="5A6772"/>
          <w:sz w:val="18"/>
          <w:szCs w:val="18"/>
          <w:rFonts w:ascii="Aptos" w:hAnsi="Aptos"/>
        </w:rPr>
        <w:t xml:space="preserve">Figure 22. Owner financial status and revenue analytics</w:t>
      </w:r>
    </w:p>
    <w:sectPr>
      <w:pgSz w:w="12240" w:h="15840"/>
      <w:pgMar w:top="1050" w:right="1120" w:bottom="1000" w:left="1120" w:header="500" w:footer="500" w:gutter="0"/>
      <w:footerReference w:type="default" r:id="rId1"/>
    </w:sectPr>
  </w:body>
</w:document>
</file>

<file path=word/footer1.xml><?xml version="1.0" encoding="utf-8"?>
<w:ftr xmlns:w="http://schemas.openxmlformats.org/wordprocessingml/2006/main">
  <w:p>
    <w:pPr>
      <w:jc w:val="center"/>
    </w:pPr>
    <w:r>
      <w:rPr>
        <w:color w:val="5A6772"/>
        <w:sz w:val="17"/>
        <w:szCs w:val="17"/>
        <w:rFonts w:ascii="Aptos" w:hAnsi="Aptos"/>
      </w:rPr>
      <w:t xml:space="preserve">ImmoFlow User Manual  |  Version 1.0  |  October 2026  |  Page </w:t>
    </w:r>
    <w:r>
      <w:fldChar w:fldCharType="begin"/>
    </w:r>
    <w:r>
      <w:instrText xml:space="preserve">PAGE</w:instrText>
    </w:r>
    <w:r>
      <w:fldChar w:fldCharType="separate"/>
    </w:r>
    <w:r>
      <w:rPr>
        <w:color w:val="5A6772"/>
        <w:sz w:val="19"/>
        <w:szCs w:val="19"/>
        <w:rFonts w:ascii="Aptos" w:hAnsi="Aptos"/>
      </w:rPr>
      <w:t xml:space="preserve">1</w:t>
    </w:r>
    <w:r>
      <w:fldChar w:fldCharType="end"/>
    </w:r>
  </w:p>
</w:ftr>
</file>

<file path=word/numbering.xml><?xml version="1.0" encoding="utf-8"?>
<w:numbering xmlns:w="http://schemas.openxmlformats.org/wordprocessingml/2006/main">
  <w:abstractNum w:abstractNumId="0">
    <w:lvl w:ilvl="0">
      <w:start w:val="1"/>
      <w:numFmt w:val="bullet"/>
      <w:lvlText w:val="•"/>
      <w:lvlJc w:val="left"/>
      <w:pPr>
        <w:tabs>
          <w:tab w:val="num" w:pos="720"/>
        </w:tabs>
        <w:ind w:left="720" w:hanging="360"/>
      </w:pPr>
    </w:lvl>
  </w:abstractNum>
  <w:abstractNum w:abstractNumId="1">
    <w:lvl w:ilvl="0">
      <w:start w:val="1"/>
      <w:numFmt w:val="decimal"/>
      <w:lvlText w:val="%1."/>
      <w:lvlJc w:val="left"/>
      <w:pPr>
        <w:tabs>
          <w:tab w:val="num" w:pos="720"/>
        </w:tabs>
        <w:ind w:left="720" w:hanging="360"/>
      </w:pPr>
    </w:lvl>
  </w:abstractNum>
  <w:num w:numId="1">
    <w:abstractNumId w:val="0"/>
  </w:num>
  <w:num w:numId="2">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style w:type="paragraph" w:default="1" w:styleId="Normal">
    <w:name w:val="Normal"/>
    <w:rPr>
      <w:rFonts w:ascii="Aptos" w:hAnsi="Aptos"/>
      <w:sz w:val="21"/>
    </w:rPr>
  </w:style>
  <w:style w:type="paragraph" w:styleId="H1">
    <w:name w:val="Heading 1"/>
    <w:pPr>
      <w:outlineLvl w:val="0"/>
      <w:spacing w:before="260" w:after="110"/>
      <w:keepNext/>
    </w:pPr>
  </w:style>
  <w:style w:type="paragraph" w:styleId="H2">
    <w:name w:val="Heading 2"/>
    <w:pPr>
      <w:outlineLvl w:val="1"/>
      <w:spacing w:before="180" w:after="70"/>
      <w:keepNext/>
    </w:pPr>
  </w:style>
  <w:style w:type="paragraph" w:styleId="ListBullet">
    <w:name w:val="List Bullet"/>
    <w:pPr>
      <w:numPr>
        <w:ilvl w:val="0"/>
        <w:numId w:val="1"/>
      </w:numPr>
      <w:spacing w:after="45"/>
    </w:pPr>
  </w:style>
  <w:style w:type="paragraph" w:styleId="ListNumber">
    <w:name w:val="List Number"/>
    <w:pPr>
      <w:numPr>
        <w:ilvl w:val="0"/>
        <w:numId w:val="2"/>
      </w:numPr>
      <w:spacing w:after="45"/>
    </w:pPr>
  </w:style>
</w:styles>
</file>

<file path=word/_rels/document.xml.rels><?xml version="1.0" encoding="UTF-8"?><Relationships xmlns="http://schemas.openxmlformats.org/package/2006/relationships"><Relationship Id="rId1" Type="http://schemas.openxmlformats.org/officeDocument/2006/relationships/footer" Target="footer1.xml"/><Relationship Id="rId2" Type="http://schemas.openxmlformats.org/officeDocument/2006/relationships/numbering" Target="numbering.xml"/><Relationship Id="rId25" Type="http://schemas.openxmlformats.org/officeDocument/2006/relationships/settings" Target="settings.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s>
</file>

<file path=docProps/app.xml><?xml version="1.0" encoding="utf-8"?>
<Properties xmlns="http://schemas.openxmlformats.org/officeDocument/2006/extended-properties">
  <Application>Real Estate Management System</Application>
</Properties>
</file>

<file path=docProps/core.xml><?xml version="1.0" encoding="utf-8"?>
<cp:coreProperties xmlns:cp="http://schemas.openxmlformats.org/package/2006/metadata/core-properties" xmlns:dc="http://purl.org/dc/elements/1.1/">
  <dc:title>ImmoFlow User Manual</dc:title>
  <dc:subject>Illustrated end-user guide for ImmoFlow</dc:subject>
  <dc:creator>ImmoFlow</dc:creator>
</cp:coreProperties>
</file>