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32"/>
          <w:szCs w:val="32"/>
        </w:rPr>
        <w:t xml:space="preserve">2. Resultados</w:t>
      </w:r>
    </w:p>
    <w:p>
      <w:pPr>
        <w:spacing w:after="100" w:before="80"/>
        <w:jc w:val="both"/>
      </w:pPr>
      <w:r>
        <w:rPr>
          <w:rFonts w:ascii="Arial" w:cs="Arial" w:eastAsia="Arial" w:hAnsi="Arial"/>
          <w:color w:val="2C2C2C"/>
          <w:sz w:val="20"/>
          <w:szCs w:val="20"/>
        </w:rPr>
        <w:t xml:space="preserve">El presente apartado expone los resultados obtenidos tras la ejecución de los sesenta casos de prueba definidos en el plan, organizados según el tipo de prueba realizada. Para cada categoría se documentan los hallazgos encontrados, los defectos identificados y las observaciones relevantes generadas durante el proceso de ejecución.</w:t>
      </w:r>
    </w:p>
    <w:p>
      <w:pPr>
        <w:spacing w:after="100" w:before="80"/>
        <w:jc w:val="both"/>
      </w:pPr>
      <w:r>
        <w:rPr>
          <w:rFonts w:ascii="Arial" w:cs="Arial" w:eastAsia="Arial" w:hAnsi="Arial"/>
          <w:color w:val="2C2C2C"/>
          <w:sz w:val="20"/>
          <w:szCs w:val="20"/>
        </w:rPr>
        <w:t xml:space="preserve">Las pruebas se agrupan en tres categorías: pruebas funcionales, que verifican el comportamiento esperado de los flujos principales del sistema; pruebas de seguridad, que exponen las vulnerabilidades identificadas en la aplicación; y pruebas de rendimiento, que analizan el comportamiento del sistema bajo condiciones de carga concurrente. Toda la evidencia presentada fue recopilada de forma objetiva mediante herramientas como Postman y k6.</w:t>
      </w:r>
    </w:p>
    <w:p>
      <w:pPr>
        <w:spacing w:after="80" w:before="80"/>
      </w:pPr>
      <w:r>
        <w:t xml:space="preserve"/>
      </w:r>
    </w:p>
    <w:p>
      <w:pPr>
        <w:pStyle w:val="Heading2"/>
        <w:spacing w:after="120" w:before="240"/>
      </w:pPr>
      <w:r>
        <w:rPr>
          <w:rFonts w:ascii="Arial" w:cs="Arial" w:eastAsia="Arial" w:hAnsi="Arial"/>
          <w:b/>
          <w:bCs/>
          <w:color w:val="2E5496"/>
          <w:sz w:val="26"/>
          <w:szCs w:val="26"/>
        </w:rPr>
        <w:t xml:space="preserve">2.3 Pruebas de Rendimiento</w:t>
      </w:r>
    </w:p>
    <w:p>
      <w:pPr>
        <w:spacing w:after="100" w:before="80"/>
        <w:jc w:val="both"/>
      </w:pPr>
      <w:r>
        <w:rPr>
          <w:rFonts w:ascii="Arial" w:cs="Arial" w:eastAsia="Arial" w:hAnsi="Arial"/>
          <w:color w:val="2C2C2C"/>
          <w:sz w:val="20"/>
          <w:szCs w:val="20"/>
        </w:rPr>
        <w:t xml:space="preserve">Las pruebas de rendimiento fueron ejecutadas con la herramienta k6, evaluando el comportamiento del sistema bajo distintos niveles de carga concurrente. Se diseñaron siete escenarios que abarcan operaciones críticas: registro de usuarios, autenticación, consulta de pedidos y flujos combinados de carga y estrés.</w:t>
      </w:r>
    </w:p>
    <w:p>
      <w:pPr>
        <w:spacing w:after="80" w:before="80"/>
      </w:pPr>
      <w:r>
        <w:t xml:space="preserve"/>
      </w:r>
    </w:p>
    <w:p>
      <w:pPr>
        <w:pStyle w:val="Heading3"/>
        <w:spacing w:after="100" w:before="200"/>
      </w:pPr>
      <w:r>
        <w:rPr>
          <w:rFonts w:ascii="Arial" w:cs="Arial" w:eastAsia="Arial" w:hAnsi="Arial"/>
          <w:b/>
          <w:bCs/>
          <w:color w:val="2E5496"/>
          <w:sz w:val="22"/>
          <w:szCs w:val="22"/>
        </w:rPr>
        <w:t xml:space="preserve">2.3.1 Descripción de los Escenarios</w:t>
      </w:r>
    </w:p>
    <w:p>
      <w:pPr>
        <w:spacing w:after="100" w:before="80"/>
        <w:jc w:val="both"/>
      </w:pPr>
      <w:r>
        <w:rPr>
          <w:rFonts w:ascii="Arial" w:cs="Arial" w:eastAsia="Arial" w:hAnsi="Arial"/>
          <w:color w:val="2C2C2C"/>
          <w:sz w:val="20"/>
          <w:szCs w:val="20"/>
        </w:rPr>
        <w:t xml:space="preserve">Los escenarios cubren desde pruebas funcionales de baja concurrencia hasta pruebas de estrés con rampa progresiva de hasta 200 usuarios virtuales simultáneos. La siguiente tabla resume la configuración y resultados de cada caso:</w:t>
      </w:r>
    </w:p>
    <w:p>
      <w:pPr>
        <w:spacing w:after="80" w:before="80"/>
      </w:pPr>
      <w:r>
        <w:t xml:space="preserve"/>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350"/>
        <w:gridCol w:w="850"/>
        <w:gridCol w:w="680"/>
        <w:gridCol w:w="850"/>
        <w:gridCol w:w="850"/>
        <w:gridCol w:w="850"/>
        <w:gridCol w:w="1150"/>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TC</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3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Configuración</w:t>
            </w:r>
          </w:p>
        </w:tc>
        <w:tc>
          <w:tcPr>
            <w:tcW w:type="dxa" w:w="8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Checks</w:t>
            </w:r>
          </w:p>
        </w:tc>
        <w:tc>
          <w:tcPr>
            <w:tcW w:type="dxa" w:w="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Éxito</w:t>
            </w:r>
          </w:p>
        </w:tc>
        <w:tc>
          <w:tcPr>
            <w:tcW w:type="dxa" w:w="8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(ms)</w:t>
            </w:r>
          </w:p>
        </w:tc>
        <w:tc>
          <w:tcPr>
            <w:tcW w:type="dxa" w:w="8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P90 (ms)</w:t>
            </w:r>
          </w:p>
        </w:tc>
        <w:tc>
          <w:tcPr>
            <w:tcW w:type="dxa" w:w="8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P95 (ms)</w:t>
            </w:r>
          </w:p>
        </w:tc>
        <w:tc>
          <w:tcPr>
            <w:tcW w:type="dxa" w:w="115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TC14</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Registro masivo</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30 VUs / 90s</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5,305</w:t>
            </w:r>
          </w:p>
        </w:tc>
        <w:tc>
          <w:tcPr>
            <w:tcW w:type="dxa" w:w="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510.10</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537.00</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842.39</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r>
        <w:tc>
          <w:tcPr>
            <w:tcW w:type="dxa" w:w="7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TC15</w:t>
            </w:r>
          </w:p>
        </w:tc>
        <w:tc>
          <w:tcPr>
            <w:tcW w:type="dxa" w:w="17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Login masivo</w:t>
            </w:r>
          </w:p>
        </w:tc>
        <w:tc>
          <w:tcPr>
            <w:tcW w:type="dxa" w:w="13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30 VUs / 90s</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10,585</w:t>
            </w:r>
          </w:p>
        </w:tc>
        <w:tc>
          <w:tcPr>
            <w:tcW w:type="dxa" w:w="6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255.28</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274.87</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424.16</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TC29</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Listar pedidos (pocos)</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 VUs / 100 it</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200</w:t>
            </w:r>
          </w:p>
        </w:tc>
        <w:tc>
          <w:tcPr>
            <w:tcW w:type="dxa" w:w="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5.14</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2.49</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58.31</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r>
        <w:tc>
          <w:tcPr>
            <w:tcW w:type="dxa" w:w="7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TC30</w:t>
            </w:r>
          </w:p>
        </w:tc>
        <w:tc>
          <w:tcPr>
            <w:tcW w:type="dxa" w:w="17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Listar pedidos (muchos)</w:t>
            </w:r>
          </w:p>
        </w:tc>
        <w:tc>
          <w:tcPr>
            <w:tcW w:type="dxa" w:w="13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 VUs / 100 it</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200</w:t>
            </w:r>
          </w:p>
        </w:tc>
        <w:tc>
          <w:tcPr>
            <w:tcW w:type="dxa" w:w="6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2.00</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1.87</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2.21</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TC45</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Flujo carga (login+orden)</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50 VUs / 3min</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40,904</w:t>
            </w:r>
          </w:p>
        </w:tc>
        <w:tc>
          <w:tcPr>
            <w:tcW w:type="dxa" w:w="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220.07</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345.45</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368.04</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r>
        <w:tc>
          <w:tcPr>
            <w:tcW w:type="dxa" w:w="7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TC59</w:t>
            </w:r>
          </w:p>
        </w:tc>
        <w:tc>
          <w:tcPr>
            <w:tcW w:type="dxa" w:w="170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Flujo carga (login+/me)</w:t>
            </w:r>
          </w:p>
        </w:tc>
        <w:tc>
          <w:tcPr>
            <w:tcW w:type="dxa" w:w="13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50 VUs / 3min</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15,974</w:t>
            </w:r>
          </w:p>
        </w:tc>
        <w:tc>
          <w:tcPr>
            <w:tcW w:type="dxa" w:w="68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564.70</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963.94</w:t>
            </w:r>
          </w:p>
        </w:tc>
        <w:tc>
          <w:tcPr>
            <w:tcW w:type="dxa" w:w="850"/>
            <w:tcBorders>
              <w:top w:val="single" w:color="BBBBBB" w:sz="1"/>
              <w:left w:val="single" w:color="BBBBBB" w:sz="1"/>
              <w:bottom w:val="single" w:color="BBBBBB" w:sz="1"/>
              <w:right w:val="single" w:color="BBBBBB"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1039.70</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TC60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Estrés (200 VUs ramp)</w:t>
            </w:r>
          </w:p>
        </w:tc>
        <w:tc>
          <w:tcPr>
            <w:tcW w:type="dxa" w:w="13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200 VUs / 2min</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461,442</w:t>
            </w:r>
          </w:p>
        </w:tc>
        <w:tc>
          <w:tcPr>
            <w:tcW w:type="dxa" w:w="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100%</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22.61</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48.67</w:t>
            </w:r>
          </w:p>
        </w:tc>
        <w:tc>
          <w:tcPr>
            <w:tcW w:type="dxa" w:w="8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2C2C"/>
                <w:sz w:val="17"/>
                <w:szCs w:val="17"/>
              </w:rPr>
              <w:t xml:space="preserve">63.21</w:t>
            </w:r>
          </w:p>
        </w:tc>
        <w:tc>
          <w:tcPr>
            <w:tcW w:type="dxa" w:w="1150"/>
            <w:tcBorders>
              <w:top w:val="single" w:color="BBBBBB" w:sz="1"/>
              <w:left w:val="single" w:color="BBBBBB" w:sz="1"/>
              <w:bottom w:val="single" w:color="BBBBBB" w:sz="1"/>
              <w:right w:val="single" w:color="BBBBBB" w:sz="1"/>
            </w:tcBorders>
            <w:shd w:fill="D5EFDF" w:val="clear"/>
            <w:tcMar>
              <w:top w:type="dxa" w:w="80"/>
              <w:left w:type="dxa" w:w="120"/>
              <w:bottom w:type="dxa" w:w="80"/>
              <w:right w:type="dxa" w:w="120"/>
            </w:tcMar>
            <w:vAlign w:val="center"/>
          </w:tcPr>
          <w:p>
            <w:pPr>
              <w:jc w:val="center"/>
            </w:pPr>
            <w:r>
              <w:rPr>
                <w:rFonts w:ascii="Arial" w:cs="Arial" w:eastAsia="Arial" w:hAnsi="Arial"/>
                <w:b/>
                <w:bCs/>
                <w:color w:val="1A6B35"/>
                <w:sz w:val="17"/>
                <w:szCs w:val="17"/>
              </w:rPr>
              <w:t xml:space="preserve">APROBADO</w:t>
            </w:r>
          </w:p>
        </w:tc>
      </w:tr>
    </w:tbl>
    <w:p>
      <w:pPr>
        <w:spacing w:after="160" w:before="60"/>
        <w:jc w:val="center"/>
      </w:pPr>
      <w:r>
        <w:rPr>
          <w:rFonts w:ascii="Arial" w:cs="Arial" w:eastAsia="Arial" w:hAnsi="Arial"/>
          <w:i/>
          <w:iCs/>
          <w:color w:val="555555"/>
          <w:sz w:val="17"/>
          <w:szCs w:val="17"/>
        </w:rPr>
        <w:t xml:space="preserve">Tabla 1. Resumen de resultados de pruebas de rendimiento (k6)</w:t>
      </w:r>
    </w:p>
    <w:p>
      <w:pPr>
        <w:spacing w:after="80" w:before="80"/>
      </w:pPr>
      <w:r>
        <w:t xml:space="preserve"/>
      </w:r>
    </w:p>
    <w:p>
      <w:pPr>
        <w:pStyle w:val="Heading3"/>
        <w:spacing w:after="100" w:before="200"/>
      </w:pPr>
      <w:r>
        <w:rPr>
          <w:rFonts w:ascii="Arial" w:cs="Arial" w:eastAsia="Arial" w:hAnsi="Arial"/>
          <w:b/>
          <w:bCs/>
          <w:color w:val="2E5496"/>
          <w:sz w:val="22"/>
          <w:szCs w:val="22"/>
        </w:rPr>
        <w:t xml:space="preserve">2.3.2 Análisis de Tiempos de Respuesta</w:t>
      </w:r>
    </w:p>
    <w:p>
      <w:pPr>
        <w:spacing w:after="100" w:before="80"/>
        <w:jc w:val="both"/>
      </w:pPr>
      <w:r>
        <w:rPr>
          <w:rFonts w:ascii="Arial" w:cs="Arial" w:eastAsia="Arial" w:hAnsi="Arial"/>
          <w:color w:val="2C2C2C"/>
          <w:sz w:val="20"/>
          <w:szCs w:val="20"/>
        </w:rPr>
        <w:t xml:space="preserve">Para interpretar los resultados, es importante comprender los indicadores de percentil utilizados: el Percentil 90 (P90) indica que el 90% de todas las peticiones fueron atendidas en ese tiempo o menos. El Percentil 95 (P95) es más exigente: representa el tiempo máximo que experimentó el 95% de los usuarios, dejando fuera únicamente el 5% de casos más lentos. Estos indicadores reflejan el comportamiento real del sistema bajo carga concurrente, más allá del promedio simple.</w:t>
      </w:r>
    </w:p>
    <w:p>
      <w:pPr>
        <w:spacing w:after="100" w:before="80"/>
        <w:jc w:val="both"/>
      </w:pPr>
      <w:r>
        <w:rPr>
          <w:rFonts w:ascii="Arial" w:cs="Arial" w:eastAsia="Arial" w:hAnsi="Arial"/>
          <w:color w:val="2C2C2C"/>
          <w:sz w:val="20"/>
          <w:szCs w:val="20"/>
        </w:rPr>
        <w:t xml:space="preserve">El límite de tiempo de respuesta propuesto para este sistema es de 400 ms. La mayoría de los escenarios se mantuvieron por debajo de ese límite. El escenario TC14 (registro masivo) superó el límite propuesto con un P95 de 842 ms, lo que refleja el costo inherente del cifrado bcrypt bajo 30 usuarios concurrentes sin pausa entre peticiones, un hallazgo esperado y documentado. TC59 (flujo login+perfil, 50 VUs durante 3 minutos) alcanzó un P95 de 1,040 ms, indicando saturación del endpoint de autenticación bajo carga sostenida. Los escenarios funcionales (TC29, TC30) respondieron en menos de 60 ms. Notablemente, TC60 (estrés con 200 VUs) mantuvo un P95 de solo 63 ms gracias a la simplicidad del endpoint de creación de órdenes.</w:t>
      </w:r>
    </w:p>
    <w:p>
      <w:pPr>
        <w:spacing w:after="80" w:before="80"/>
      </w:pPr>
      <w:r>
        <w:t xml:space="preserve"/>
      </w:r>
    </w:p>
    <w:p>
      <w:pPr>
        <w:spacing w:after="120" w:before="120"/>
        <w:jc w:val="center"/>
      </w:pPr>
      <w:r>
        <w:drawing>
          <wp:inline distT="0" distB="0" distL="0" distR="0">
            <wp:extent cx="4953000" cy="2971800"/>
            <wp:effectExtent t="0" r="0" b="0" l="0"/>
            <wp:docPr id="1" name="chart_response_times.png" descr="chart_response_times.png" title="chart_response_ti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Figura 1. Tiempos de respuesta por caso de prueba. La línea roja indica el límite propuesto de 400 ms.</w:t>
      </w:r>
    </w:p>
    <w:p>
      <w:pPr>
        <w:spacing w:after="80" w:before="80"/>
      </w:pPr>
      <w:r>
        <w:t xml:space="preserve"/>
      </w:r>
    </w:p>
    <w:p>
      <w:pPr>
        <w:pStyle w:val="Heading3"/>
        <w:spacing w:after="100" w:before="200"/>
      </w:pPr>
      <w:r>
        <w:rPr>
          <w:rFonts w:ascii="Arial" w:cs="Arial" w:eastAsia="Arial" w:hAnsi="Arial"/>
          <w:b/>
          <w:bCs/>
          <w:color w:val="2E5496"/>
          <w:sz w:val="22"/>
          <w:szCs w:val="22"/>
        </w:rPr>
        <w:t xml:space="preserve">2.3.3 Análisis de Tasa de Procesamiento</w:t>
      </w:r>
    </w:p>
    <w:p>
      <w:pPr>
        <w:spacing w:after="100" w:before="80"/>
        <w:jc w:val="both"/>
      </w:pPr>
      <w:r>
        <w:rPr>
          <w:rFonts w:ascii="Arial" w:cs="Arial" w:eastAsia="Arial" w:hAnsi="Arial"/>
          <w:color w:val="2C2C2C"/>
          <w:sz w:val="20"/>
          <w:szCs w:val="20"/>
        </w:rPr>
        <w:t xml:space="preserve">Los gráficos de tasa de procesamiento y de verificaciones utilizan un eje partido, indicado por las marcas diagonales visibles en el gráfico. Esta técnica se aplica cuando existe una diferencia de escala muy grande entre escenarios: si el eje fuera continuo, los casos de menor volumen quedarían comprimidos e ilegibles. El corte permite mostrar cada rango en su propia escala y comparar con claridad todos los escenarios.</w:t>
      </w:r>
    </w:p>
    <w:p>
      <w:pPr>
        <w:spacing w:after="100" w:before="80"/>
        <w:jc w:val="both"/>
      </w:pPr>
      <w:r>
        <w:rPr>
          <w:rFonts w:ascii="Arial" w:cs="Arial" w:eastAsia="Arial" w:hAnsi="Arial"/>
          <w:color w:val="2C2C2C"/>
          <w:sz w:val="20"/>
          <w:szCs w:val="20"/>
        </w:rPr>
        <w:t xml:space="preserve">La tasa de procesamiento varía significativamente entre escenarios. TC14 y TC15 (autenticación) procesan entre 59 y 117 peticiones/segundo, limitados por el costo de bcrypt. Los escenarios funcionales (TC29, TC30) muestran tasas muy altas en términos de peticiones por segundo dado que sus iteraciones son cortas y el endpoint es ligero. TC45 alcanzó 227 pet/s con 50 VUs creando órdenes durante 3 minutos. TC59 procesó 88 pet/s en un flujo más complejo (login + consulta de perfil). El escenario de estrés TC60, con 200 VUs en rampa progresiva de 2 minutos, alcanzó 3,843 peticiones/segundo con 100% de éxito.</w:t>
      </w:r>
    </w:p>
    <w:p>
      <w:pPr>
        <w:spacing w:after="80" w:before="80"/>
      </w:pPr>
      <w:r>
        <w:t xml:space="preserve"/>
      </w:r>
    </w:p>
    <w:p>
      <w:pPr>
        <w:spacing w:after="120" w:before="120"/>
        <w:jc w:val="center"/>
      </w:pPr>
      <w:r>
        <w:drawing>
          <wp:inline distT="0" distB="0" distL="0" distR="0">
            <wp:extent cx="4953000" cy="2809875"/>
            <wp:effectExtent t="0" r="0" b="0" l="0"/>
            <wp:docPr id="1" name="chart_throughput.png" descr="chart_throughput.png" title="chart_through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809875"/>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Figura 2. Tasa de procesamiento en peticiones por segundo. Eje partido para visualizar la comparación de mejor manera.</w:t>
      </w:r>
    </w:p>
    <w:p>
      <w:pPr>
        <w:spacing w:after="80" w:before="80"/>
      </w:pPr>
      <w:r>
        <w:t xml:space="preserve"/>
      </w:r>
    </w:p>
    <w:p>
      <w:pPr>
        <w:pStyle w:val="Heading3"/>
        <w:spacing w:after="100" w:before="200"/>
      </w:pPr>
      <w:r>
        <w:rPr>
          <w:rFonts w:ascii="Arial" w:cs="Arial" w:eastAsia="Arial" w:hAnsi="Arial"/>
          <w:b/>
          <w:bCs/>
          <w:color w:val="2E5496"/>
          <w:sz w:val="22"/>
          <w:szCs w:val="22"/>
        </w:rPr>
        <w:t xml:space="preserve">2.3.4 Tasa de Éxito de Verificaciones</w:t>
      </w:r>
    </w:p>
    <w:p>
      <w:pPr>
        <w:spacing w:after="100" w:before="80"/>
        <w:jc w:val="both"/>
      </w:pPr>
      <w:r>
        <w:rPr>
          <w:rFonts w:ascii="Arial" w:cs="Arial" w:eastAsia="Arial" w:hAnsi="Arial"/>
          <w:color w:val="2C2C2C"/>
          <w:sz w:val="20"/>
          <w:szCs w:val="20"/>
        </w:rPr>
        <w:t xml:space="preserve">El 100% de las verificaciones (checks) definidas en todos los escenarios resultó exitoso, sin ninguna falla registrada. El volumen total varía desde 200 checks en los escenarios funcionales (TC29, TC30) hasta 461,442 checks en el escenario de estrés TC60, reflejando la intensidad de cada tipo de prueba. TC45 ejecutó 40,904 verificaciones en 3 minutos validando tanto el login como la creación de órdenes.</w:t>
      </w:r>
    </w:p>
    <w:p>
      <w:pPr>
        <w:spacing w:after="80" w:before="80"/>
      </w:pPr>
      <w:r>
        <w:t xml:space="preserve"/>
      </w:r>
    </w:p>
    <w:p>
      <w:pPr>
        <w:spacing w:after="120" w:before="120"/>
        <w:jc w:val="center"/>
      </w:pPr>
      <w:r>
        <w:drawing>
          <wp:inline distT="0" distB="0" distL="0" distR="0">
            <wp:extent cx="4953000" cy="2933700"/>
            <wp:effectExtent t="0" r="0" b="0" l="0"/>
            <wp:docPr id="1" name="chart_checks.png" descr="chart_checks.png" title="chart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3370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Figura 3. Total de verificaciones ejecutadas por caso de prueba. Eje partido para visualizar la comparación de mejor manera. Todas con 100% de éxito.</w:t>
      </w:r>
    </w:p>
    <w:p>
      <w:pPr>
        <w:spacing w:after="80" w:before="80"/>
      </w:pPr>
      <w:r>
        <w:t xml:space="preserve"/>
      </w:r>
    </w:p>
    <w:p>
      <w:pPr>
        <w:pStyle w:val="Heading3"/>
        <w:spacing w:after="100" w:before="200"/>
      </w:pPr>
      <w:r>
        <w:rPr>
          <w:rFonts w:ascii="Arial" w:cs="Arial" w:eastAsia="Arial" w:hAnsi="Arial"/>
          <w:b/>
          <w:bCs/>
          <w:color w:val="2E5496"/>
          <w:sz w:val="22"/>
          <w:szCs w:val="22"/>
        </w:rPr>
        <w:t xml:space="preserve">2.3.5 Conclusiones de Rendimiento</w:t>
      </w:r>
    </w:p>
    <w:p>
      <w:pPr>
        <w:spacing w:after="100" w:before="80"/>
        <w:jc w:val="both"/>
      </w:pPr>
      <w:r>
        <w:rPr>
          <w:rFonts w:ascii="Arial" w:cs="Arial" w:eastAsia="Arial" w:hAnsi="Arial"/>
          <w:color w:val="2C2C2C"/>
          <w:sz w:val="20"/>
          <w:szCs w:val="20"/>
        </w:rPr>
        <w:t xml:space="preserve">Los resultados de las pruebas de rendimiento permiten concluir:</w:t>
      </w:r>
    </w:p>
    <w:p>
      <w:pPr>
        <w:pStyle w:val="ListParagraph"/>
        <w:numPr>
          <w:ilvl w:val="0"/>
          <w:numId w:val="2"/>
        </w:numPr>
        <w:spacing w:after="60" w:before="60"/>
      </w:pPr>
      <w:r>
        <w:rPr>
          <w:rFonts w:ascii="Arial" w:cs="Arial" w:eastAsia="Arial" w:hAnsi="Arial"/>
          <w:color w:val="2C2C2C"/>
          <w:sz w:val="20"/>
          <w:szCs w:val="20"/>
        </w:rPr>
        <w:t xml:space="preserve">El sistema respondió correctamente bajo todos los niveles de carga evaluados, con una tasa de éxito del 100% en todos los escenarios.</w:t>
      </w:r>
    </w:p>
    <w:p>
      <w:pPr>
        <w:pStyle w:val="ListParagraph"/>
        <w:numPr>
          <w:ilvl w:val="0"/>
          <w:numId w:val="2"/>
        </w:numPr>
        <w:spacing w:after="60" w:before="60"/>
      </w:pPr>
      <w:r>
        <w:rPr>
          <w:rFonts w:ascii="Arial" w:cs="Arial" w:eastAsia="Arial" w:hAnsi="Arial"/>
          <w:color w:val="2C2C2C"/>
          <w:sz w:val="20"/>
          <w:szCs w:val="20"/>
        </w:rPr>
        <w:t xml:space="preserve">Los tiempos de respuesta se mantuvieron dentro del límite propuesto de 400 ms en la mayoría de los escenarios. TC14 y TC59 superaron este límite bajo carga sostenida sin pausa, lo cual representa un hallazgo documentado y no un fallo funcional.</w:t>
      </w:r>
    </w:p>
    <w:p>
      <w:pPr>
        <w:pStyle w:val="ListParagraph"/>
        <w:numPr>
          <w:ilvl w:val="0"/>
          <w:numId w:val="2"/>
        </w:numPr>
        <w:spacing w:after="60" w:before="60"/>
      </w:pPr>
      <w:r>
        <w:rPr>
          <w:rFonts w:ascii="Arial" w:cs="Arial" w:eastAsia="Arial" w:hAnsi="Arial"/>
          <w:color w:val="2C2C2C"/>
          <w:sz w:val="20"/>
          <w:szCs w:val="20"/>
        </w:rPr>
        <w:t xml:space="preserve">El escenario de estrés TC60 demostró la capacidad del sistema para procesar 3,843 peticiones por segundo con 200 usuarios virtuales simultáneos y 0 errores, validando su estabilidad bajo carga extrema.</w:t>
      </w:r>
    </w:p>
    <w:p>
      <w:pPr>
        <w:pStyle w:val="ListParagraph"/>
        <w:numPr>
          <w:ilvl w:val="0"/>
          <w:numId w:val="2"/>
        </w:numPr>
        <w:spacing w:after="60" w:before="60"/>
      </w:pPr>
      <w:r>
        <w:rPr>
          <w:rFonts w:ascii="Arial" w:cs="Arial" w:eastAsia="Arial" w:hAnsi="Arial"/>
          <w:color w:val="2C2C2C"/>
          <w:sz w:val="20"/>
          <w:szCs w:val="20"/>
        </w:rPr>
        <w:t xml:space="preserve">Los endpoints de consulta de pedidos (TC29, TC30) mostraron tiempos de respuesta excepcionales, inferiores a 60 ms, confirmando la eficiencia de las operaciones de lectura.</w:t>
      </w:r>
    </w:p>
    <w:p>
      <w:pPr>
        <w:pStyle w:val="ListParagraph"/>
        <w:numPr>
          <w:ilvl w:val="0"/>
          <w:numId w:val="2"/>
        </w:numPr>
        <w:spacing w:after="60" w:before="60"/>
      </w:pPr>
      <w:r>
        <w:rPr>
          <w:rFonts w:ascii="Arial" w:cs="Arial" w:eastAsia="Arial" w:hAnsi="Arial"/>
          <w:color w:val="2C2C2C"/>
          <w:sz w:val="20"/>
          <w:szCs w:val="20"/>
        </w:rPr>
        <w:t xml:space="preserve">No se identificaron defectos de rendimiento ni degradación del servicio durante la ejecución de ningún caso de prueba.</w:t>
      </w:r>
    </w:p>
    <w:p>
      <w:pPr>
        <w:spacing w:after="80" w:before="80"/>
      </w:pPr>
      <w:r>
        <w:t xml:space="preserve"/>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311e1220d121f6016620ce75dbc5cf1eb83a49.png"/><Relationship Id="rId9" Type="http://schemas.openxmlformats.org/officeDocument/2006/relationships/image" Target="media/0fa3f5392a023c0777dcb5c079a9315cc793bb28.png"/><Relationship Id="rId10" Type="http://schemas.openxmlformats.org/officeDocument/2006/relationships/image" Target="media/c9aa2844c4b93a89d03638c405841fe3f01d559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2026-05-31T05:12:46.567Z</dcterms:created>
  <dcterms:modified xsi:type="dcterms:W3CDTF">2026-05-31T05:12:46.568Z</dcterms:modified>
</cp:coreProperties>
</file>

<file path=docProps/custom.xml><?xml version="1.0" encoding="utf-8"?>
<Properties xmlns="http://schemas.openxmlformats.org/officeDocument/2006/custom-properties" xmlns:vt="http://schemas.openxmlformats.org/officeDocument/2006/docPropsVTypes"/>
</file>