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agcor游戏分类修正-prd"/>
    <w:p>
      <w:pPr>
        <w:pStyle w:val="Heading1"/>
      </w:pPr>
      <w:r>
        <w:rPr>
          <w:rFonts w:ascii="Microsoft YaHei" w:hAnsi="Microsoft YaHei" w:eastAsia="Microsoft YaHei" w:cs="Microsoft YaHei"/>
          <w:b/>
        </w:rPr>
        <w:t xml:space="preserve">PAGCOR游戏分类修正 PRD</w:t>
      </w:r>
    </w:p>
    <w:p>
      <w:pPr>
        <w:pStyle w:val="FirstParagraph"/>
        <w:spacing w:after="280"/>
      </w:pPr>
      <w:r>
        <w:rPr>
          <w:rFonts w:ascii="Microsoft YaHei" w:hAnsi="Microsoft YaHei" w:eastAsia="Microsoft YaHei" w:cs="Microsoft YaHei"/>
          <w:color w:val="80868F"/>
          <w:sz w:val="20"/>
        </w:rPr>
        <w:t xml:space="preserve">2026-09-30 · Joshua</w:t>
      </w:r>
    </w:p>
    <w:bookmarkStart w:id="20" w:name="版本记录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版本记录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日期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负责人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版本号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版本说明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2026-09-30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Joshua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V1.0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创建需求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</w:pP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</w:pPr>
          </w:p>
        </w:tc>
      </w:tr>
    </w:tbl>
    <w:bookmarkEnd w:id="20"/>
    <w:bookmarkStart w:id="21" w:name="需求目的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需求目的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按 MegaXcess / PAGCOR 最新确认的规则，把游戏的平台分类（平台名称）统一为 NG / eBINGO / EGAMES 三类，并让后台、API、注单、报表、导出和 PAGCOR 报送数据使用同一份分类。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现状问题</w:t>
      </w:r>
      <w:r>
        <w:rPr>
          <w:rFonts w:ascii="Microsoft YaHei" w:hAnsi="Microsoft YaHei" w:eastAsia="Microsoft YaHei" w:cs="Microsoft YaHei"/>
        </w:rPr>
        <w:t xml:space="preserve">：系统内部分游戏的平台分类与 PAGCOR 规则不一致；后台各处写法也不统一（对局查询用 ng / E-Game / E-Bingo，三方游戏统计用 e-game / ng / e-bingo），影响 PAGCOR 审计抽成对账。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本次目标</w:t>
      </w:r>
      <w:r>
        <w:rPr>
          <w:rFonts w:ascii="Microsoft YaHei" w:hAnsi="Microsoft YaHei" w:eastAsia="Microsoft YaHei" w:cs="Microsoft YaHei"/>
        </w:rP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全量检查并修正现有游戏的平台分类；</w:t>
      </w:r>
    </w:p>
    <w:p>
      <w:pPr>
        <w:numPr>
          <w:ilvl w:val="1"/>
          <w:numId w:val="100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在【游戏入口设置 &gt; 游戏配置】中新增「平台名称」字段和查询条件，分类按名单自动判定、不能随意改；</w:t>
      </w:r>
    </w:p>
    <w:p>
      <w:pPr>
        <w:numPr>
          <w:ilvl w:val="1"/>
          <w:numId w:val="100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注单、报表、导出、API 统一使用新分类，并对受影响的历史数据做修复和核对；</w:t>
      </w:r>
    </w:p>
    <w:p>
      <w:pPr>
        <w:numPr>
          <w:ilvl w:val="1"/>
          <w:numId w:val="100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后续新增游戏按同一规则归类，避免再次出现分类错误和报表数据迁移。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原型</w:t>
      </w:r>
      <w:r>
        <w:rPr>
          <w:rFonts w:ascii="Microsoft YaHei" w:hAnsi="Microsoft YaHei" w:eastAsia="Microsoft YaHei" w:cs="Microsoft YaHei"/>
        </w:rPr>
        <w:t xml:space="preserve">：画布「PAGCOR游戏分类需求」，可在 Play 模式下操作全部交互。</w:t>
      </w:r>
    </w:p>
    <w:bookmarkEnd w:id="21"/>
    <w:bookmarkStart w:id="22" w:name="分类规则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分类规则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平台名称只有 3 个取值：</w:t>
      </w: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NG</w:t>
      </w:r>
      <w:r>
        <w:rPr>
          <w:rFonts w:ascii="Microsoft YaHei" w:hAnsi="Microsoft YaHei" w:eastAsia="Microsoft YaHei" w:cs="Microsoft YaHei"/>
        </w:rPr>
        <w:t xml:space="preserve">（7 款）、</w:t>
      </w: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eBINGO</w:t>
      </w:r>
      <w:r>
        <w:rPr>
          <w:rFonts w:ascii="Microsoft YaHei" w:hAnsi="Microsoft YaHei" w:eastAsia="Microsoft YaHei" w:cs="Microsoft YaHei"/>
        </w:rPr>
        <w:t xml:space="preserve">（13 款），其余符合范围的电子娱乐场游戏一律为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EGAMES</w:t>
      </w:r>
      <w:r>
        <w:rPr>
          <w:rFonts w:ascii="Microsoft YaHei" w:hAnsi="Microsoft YaHei" w:eastAsia="Microsoft YaHei" w:cs="Microsoft YaHei"/>
        </w:rPr>
        <w:t xml:space="preserve">。名单以 MegaXcess / PAGCOR 确认版本为准。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判定键</w:t>
      </w:r>
      <w:r>
        <w:rPr>
          <w:rFonts w:ascii="Microsoft YaHei" w:hAnsi="Microsoft YaHei" w:eastAsia="Microsoft YaHei" w:cs="Microsoft YaHei"/>
        </w:rPr>
        <w:t xml:space="preserve">：游戏厂商 + 游戏ID。命中 NG 名单 → NG；命中 eBINGO 名单 → eBINGO；都不命中 → EGAMES。不按游戏名称判定（名称可能被运营改或存在同名）。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名单存储</w:t>
      </w:r>
      <w:r>
        <w:rPr>
          <w:rFonts w:ascii="Microsoft YaHei" w:hAnsi="Microsoft YaHei" w:eastAsia="Microsoft YaHei" w:cs="Microsoft YaHei"/>
        </w:rPr>
        <w:t xml:space="preserve">：作为系统配置表维护，后台不提供修改入口；名单变更需走技术配置 + 审批，并触发一次全量校验。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写法统一</w:t>
      </w:r>
      <w:r>
        <w:rPr>
          <w:rFonts w:ascii="Microsoft YaHei" w:hAnsi="Microsoft YaHei" w:eastAsia="Microsoft YaHei" w:cs="Microsoft YaHei"/>
        </w:rPr>
        <w:t xml:space="preserve">：后台、API、导出一律使用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NG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eBINGO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 xml:space="preserve"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EGAMES</w:t>
      </w:r>
      <w:r>
        <w:rPr>
          <w:rFonts w:ascii="Microsoft YaHei" w:hAnsi="Microsoft YaHei" w:eastAsia="Microsoft YaHei" w:cs="Microsoft YaHei"/>
        </w:rPr>
        <w:t xml:space="preserve">。</w:t>
      </w:r>
    </w:p>
    <w:p>
      <w:pPr>
        <w:pStyle w:val="FirstParagraph"/>
        <w:keepNext/>
        <w:spacing w:before="200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NG 名单（7 款）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游戏大类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游戏名称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游戏ID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版本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平台名称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BOXING EXTRAVAGANZA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440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GO FOR CHAMPION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442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KENO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241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KENO BONUS NUMBER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272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KENO EXTRA BET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274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KENO SUPER CHANCE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273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NUMERIC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NUMBER KING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111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NG</w:t>
            </w:r>
          </w:p>
        </w:tc>
      </w:tr>
    </w:tbl>
    <w:p>
      <w:pPr>
        <w:pStyle w:val="BodyText"/>
        <w:keepNext/>
        <w:spacing w:before="200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eBINGO 名单（13 款）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游戏大类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游戏名称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游戏ID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版本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平台名称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BINGO ADVENTURE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177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BINGO CARNAVAL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148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CALACA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149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CANDYLAND BINGO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216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FORTUNE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139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GO GOAL BINGO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178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IRICH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122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JACKPOT BINGO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174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LUCKY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150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MAGIC LAMP BINGO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217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PEARLS OF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195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SUPER BINGO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151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 GAMES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WEST HUNTER BINGO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173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V. 1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eBINGO</w:t>
            </w:r>
          </w:p>
        </w:tc>
      </w:tr>
    </w:tbl>
    <w:p>
      <w:pPr>
        <w:pStyle w:val="BodyText"/>
      </w:pPr>
      <w:r>
        <w:rPr>
          <w:rFonts w:ascii="Microsoft YaHei" w:hAnsi="Microsoft YaHei" w:eastAsia="Microsoft YaHei" w:cs="Microsoft YaHei"/>
        </w:rPr>
        <w:t xml:space="preserve">名单未注明所属厂商；按上述判定键（游戏厂商 + 游戏ID）逐条核对后写入名单配置表。</w:t>
      </w:r>
    </w:p>
    <w:p>
      <w:pPr>
        <w:pStyle w:val="BodyText"/>
      </w:pPr>
      <w:r>
        <w:rPr>
          <w:rFonts w:ascii="Microsoft YaHei" w:hAnsi="Microsoft YaHei" w:eastAsia="Microsoft YaHei" w:cs="Microsoft YaHei"/>
        </w:rPr>
        <w:t xml:space="preserve">两份名单已按 MegaXcess / PAGCOR 提供的清单逐条复核：游戏名称、游戏ID 均一致，两类游戏版本均为 V. 1；NG 对应游戏大类 NUMERIC GAMES，eBINGO 对应 eBINGO GAMES。</w:t>
      </w:r>
    </w:p>
    <w:bookmarkEnd w:id="22"/>
    <w:bookmarkStart w:id="23" w:name="菜单路径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菜单路径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本次改动集中在【游戏管理】，并联动【数据报表】下供 PAGCOR 审计使用的报表。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菜单路径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改动点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原型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游戏入口设置 → 游戏配置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列表新增「平台名称」列与异常标记；查询新增「平台名称」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有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游戏入口设置 → 游戏配置 → 添加游戏 / 编辑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弹窗新增必填项「平台名称」，按名单自动带出并校验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第三方对局查询(结算时间)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「平台名称」查询项与列表列改用 NG / eBINGO / EGAMES，去掉 Special Game，导出同步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有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第三方对局查询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同上（按下注时间查询的版本）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无，按结算时间页同步改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三方游戏统计（e-game / ng / e-bingo）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三张报表改名为 EGAMES / NG / eBINGO，取数改为按游戏平台名称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无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三方游戏报表（新）、报表下载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平台分类口径与导出字段同步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平台概况 → 用户数据 → 游戏厂商数据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如有按平台分类的统计，同步口径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无</w:t>
            </w:r>
          </w:p>
        </w:tc>
      </w:tr>
    </w:tbl>
    <w:bookmarkEnd w:id="23"/>
    <w:bookmarkStart w:id="28" w:name="页面说明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页面说明</w:t>
      </w:r>
    </w:p>
    <w:bookmarkStart w:id="24" w:name="X78046d4235e6d16d5119c4625443156989582f7"/>
    <w:p>
      <w:pPr>
        <w:pStyle w:val="Heading3"/>
      </w:pPr>
      <w:r>
        <w:rPr>
          <w:rFonts w:ascii="Microsoft YaHei" w:hAnsi="Microsoft YaHei" w:eastAsia="Microsoft YaHei" w:cs="Microsoft YaHei"/>
          <w:b/>
        </w:rPr>
        <w:t xml:space="preserve">1. 游戏配置 · 列表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新增列「平台名称」</w:t>
      </w:r>
      <w:r>
        <w:rPr>
          <w:rFonts w:ascii="Microsoft YaHei" w:hAnsi="Microsoft YaHei" w:eastAsia="Microsoft YaHei" w:cs="Microsoft YaHei"/>
        </w:rPr>
        <w:t xml:space="preserve">：放在「游戏类别」之后，用色块标签显示 NG / eBINGO / EGAMES。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分类异常标记</w:t>
      </w:r>
      <w:r>
        <w:rPr>
          <w:rFonts w:ascii="Microsoft YaHei" w:hAnsi="Microsoft YaHei" w:eastAsia="Microsoft YaHei" w:cs="Microsoft YaHei"/>
        </w:rPr>
        <w:t xml:space="preserve">：当前分类与名单判定结果不一致时，单元格标红，显示「分类异常 应为 X」。上线并完成数据修复后，正常情况下不应再出现。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排序与分页</w:t>
      </w:r>
      <w:r>
        <w:rPr>
          <w:rFonts w:ascii="Microsoft YaHei" w:hAnsi="Microsoft YaHei" w:eastAsia="Microsoft YaHei" w:cs="Microsoft YaHei"/>
        </w:rPr>
        <w:t xml:space="preserve">：沿用现有逻辑。</w:t>
      </w:r>
    </w:p>
    <w:bookmarkEnd w:id="24"/>
    <w:bookmarkStart w:id="25" w:name="X165f1a889d865fdd6838be28554871ffc433d87"/>
    <w:p>
      <w:pPr>
        <w:pStyle w:val="Heading3"/>
      </w:pPr>
      <w:r>
        <w:rPr>
          <w:rFonts w:ascii="Microsoft YaHei" w:hAnsi="Microsoft YaHei" w:eastAsia="Microsoft YaHei" w:cs="Microsoft YaHei"/>
          <w:b/>
        </w:rPr>
        <w:t xml:space="preserve">2. 游戏配置 · 查询条件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新增「平台名称」下拉</w:t>
      </w:r>
      <w:r>
        <w:rPr>
          <w:rFonts w:ascii="Microsoft YaHei" w:hAnsi="Microsoft YaHei" w:eastAsia="Microsoft YaHei" w:cs="Microsoft YaHei"/>
        </w:rPr>
        <w:t xml:space="preserve">：放在「游戏类别」之后，选项为 平台名称（全部，默认）/ NG / eBINGO / EGAMES，单选。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搜索 / 重置</w:t>
      </w:r>
      <w:r>
        <w:rPr>
          <w:rFonts w:ascii="Microsoft YaHei" w:hAnsi="Microsoft YaHei" w:eastAsia="Microsoft YaHei" w:cs="Microsoft YaHei"/>
        </w:rPr>
        <w:t xml:space="preserve">：点「搜索」后才生效；「重置」清空该条件。与其他查询条件是“且”的关系。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无结果</w:t>
      </w:r>
      <w:r>
        <w:rPr>
          <w:rFonts w:ascii="Microsoft YaHei" w:hAnsi="Microsoft YaHei" w:eastAsia="Microsoft YaHei" w:cs="Microsoft YaHei"/>
        </w:rPr>
        <w:t xml:space="preserve">：显示「暂无数据」。</w:t>
      </w:r>
    </w:p>
    <w:bookmarkEnd w:id="25"/>
    <w:bookmarkStart w:id="26" w:name="Xd1737cc5e480cf8f6ceb7fe895f17e1d9a4c263"/>
    <w:p>
      <w:pPr>
        <w:pStyle w:val="Heading3"/>
      </w:pPr>
      <w:r>
        <w:rPr>
          <w:rFonts w:ascii="Microsoft YaHei" w:hAnsi="Microsoft YaHei" w:eastAsia="Microsoft YaHei" w:cs="Microsoft YaHei"/>
          <w:b/>
        </w:rPr>
        <w:t xml:space="preserve">3. 添加游戏 / 编辑游戏弹窗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两个弹窗字段相同；点「添加游戏」弹出空表单，点列表「编辑」弹出带出该行数据的表单。除「平台名称」外，其余字段沿用现有逻辑。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字段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必填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平台名称（新增）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是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下拉：NG / eBINGO / EGAMES，放在「游戏类别」之后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自动带出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选择游戏厂商、填写游戏ID后，按名单自动带出平台名称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选项限制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名单内游戏只能选对应分类；名单外游戏只能选 EGAMES；其他选项置灰不可选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不一致提示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编辑历史数据时，若当前分类与名单不符，字段下红字提示「当前分类与PAGCOR分类名单不一致，该游戏应为 X」，不改对不能保存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字段说明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灰字：按「游戏厂商 + 游戏ID」对照PAGCOR分类名单自动带出：名单内游戏只能选对应分类，名单外游戏只能选EGAMES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未选提示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点「确定」时为空：「请选择平台名称」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保存后</w:t>
      </w:r>
      <w:r>
        <w:rPr>
          <w:rFonts w:ascii="Microsoft YaHei" w:hAnsi="Microsoft YaHei" w:eastAsia="Microsoft YaHei" w:cs="Microsoft YaHei"/>
        </w:rPr>
        <w:t xml:space="preserve">：提示「添加成功 / 编辑成功」，列表刷新，更新时间取保存时间（后台显示 −04:00）。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服务端兼底</w:t>
      </w:r>
      <w:r>
        <w:rPr>
          <w:rFonts w:ascii="Microsoft YaHei" w:hAnsi="Microsoft YaHei" w:eastAsia="Microsoft YaHei" w:cs="Microsoft YaHei"/>
        </w:rPr>
        <w:t xml:space="preserve">：前端限制之外，接口必须再校验一次；不符合名单的分类直接拒绝，返回明确错误码。</w:t>
      </w:r>
    </w:p>
    <w:bookmarkEnd w:id="26"/>
    <w:bookmarkStart w:id="27" w:name="X1ebbc7cd95e0259a9a3458c6914d4232b36a566"/>
    <w:p>
      <w:pPr>
        <w:pStyle w:val="Heading3"/>
      </w:pPr>
      <w:r>
        <w:rPr>
          <w:rFonts w:ascii="Microsoft YaHei" w:hAnsi="Microsoft YaHei" w:eastAsia="Microsoft YaHei" w:cs="Microsoft YaHei"/>
          <w:b/>
        </w:rPr>
        <w:t xml:space="preserve">4. 第三方对局查询(结算时间) / 第三方对局查询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查询项「平台名称」</w:t>
      </w:r>
      <w:r>
        <w:rPr>
          <w:rFonts w:ascii="Microsoft YaHei" w:hAnsi="Microsoft YaHei" w:eastAsia="Microsoft YaHei" w:cs="Microsoft YaHei"/>
        </w:rPr>
        <w:t xml:space="preserve">：选项改为 平台名称（全部）/ NG / eBINGO / EGAMES，去掉 Special Game。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列表列「平台名称」</w:t>
      </w:r>
      <w:r>
        <w:rPr>
          <w:rFonts w:ascii="Microsoft YaHei" w:hAnsi="Microsoft YaHei" w:eastAsia="Microsoft YaHei" w:cs="Microsoft YaHei"/>
        </w:rPr>
        <w:t xml:space="preserve">：显示注单上记录的平台分类，写法同上。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导出</w:t>
      </w:r>
      <w:r>
        <w:rPr>
          <w:rFonts w:ascii="Microsoft YaHei" w:hAnsi="Microsoft YaHei" w:eastAsia="Microsoft YaHei" w:cs="Microsoft YaHei"/>
        </w:rPr>
        <w:t xml:space="preserve">：导出文件包含「平台名称」列，取值与页面一致；按平台名称筛选后导出只含该分类（见「数据导出」）。</w:t>
      </w:r>
    </w:p>
    <w:bookmarkEnd w:id="27"/>
    <w:bookmarkEnd w:id="28"/>
    <w:bookmarkStart w:id="29" w:name="数据与接口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数据与接口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分类只有一个来源：名单配置表。游戏表存判定结果，注单存结算时的分类快照，报表、导出、PAGCOR 数据都从注单快照取数，不再各自维护游戏清单。字段名为建议，以技术方案为准。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对象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改动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名单配置表（新增）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如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color w:val="333333"/>
                <w:sz w:val="20"/>
              </w:rPr>
              <w:t xml:space="preserve">pagcor_game_category_list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：厂商编码、游戏ID、游戏名称、版本、分类（NG / eBINGO）、生效时间、状态。只存 NG / eBINGO，不在表内即 EGAMES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游戏表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新增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color w:val="333333"/>
                <w:sz w:val="20"/>
              </w:rPr>
              <w:t xml:space="preserve">platform_category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，枚举 NG / eBINGO / EGAMES，非空；新增、编辑、厂商同步入库时都按名单计算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厂商游戏同步任务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新游戏入库自动判定，不在名单内默认 EGAMES；不允许出现空值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注单（第三方对局）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新增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color w:val="333333"/>
                <w:sz w:val="20"/>
              </w:rPr>
              <w:t xml:space="preserve">platform_category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快照，结算写入时取游戏当前分类；替换原「平台名称」的 ng / e-game / e-bingo / Special Game 取值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后台接口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游戏列表、游戏详情、注单查询返回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color w:val="333333"/>
                <w:sz w:val="20"/>
              </w:rPr>
              <w:t xml:space="preserve">platform_category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，并支持按它筛选；保存游戏接口服务端校验分类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对外 / 前台 API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涉及游戏分类的字段统一为 NG / eBINGO / EGAMES，需技术排查全部调用方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三方游戏统计（e-game / ng / e-bingo）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改为按注单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 w:cs="Microsoft YaHei"/>
                <w:color w:val="333333"/>
                <w:sz w:val="20"/>
              </w:rPr>
              <w:t xml:space="preserve">platform_category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分三张表统计；字段口径不变（游戏类型、供应商、投注、派彩、审计费用，默认真实用户，金额 2 位小数，CSV 进【报表下载】）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导出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见下方「数据导出」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缓存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游戏分类、名单有缓存的，变更后主动刷新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注单要存快照</w:t>
      </w:r>
      <w:r>
        <w:rPr>
          <w:rFonts w:ascii="Microsoft YaHei" w:hAnsi="Microsoft YaHei" w:eastAsia="Microsoft YaHei" w:cs="Microsoft YaHei"/>
        </w:rPr>
        <w:t xml:space="preserve">：名单以后可能调整，存快照可保证已报送的 PAGCOR 数据能复现。名单变更是否追溯历史注单，每次单独评审。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游戏类别不动</w:t>
      </w:r>
      <w:r>
        <w:rPr>
          <w:rFonts w:ascii="Microsoft YaHei" w:hAnsi="Microsoft YaHei" w:eastAsia="Microsoft YaHei" w:cs="Microsoft YaHei"/>
        </w:rPr>
        <w:t xml:space="preserve">：「游戏类别」（Hot / Slot / Bingo 等，用于前台入口）与「平台名称」（PAGCOR 分类）是两个独立字段，本次不改前者。</w:t>
      </w:r>
    </w:p>
    <w:bookmarkEnd w:id="29"/>
    <w:bookmarkStart w:id="30" w:name="数据导出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数据导出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所有涉及游戏或注单数据的导出都要带上新分类，并与页面、报表口径保持一致。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导出入口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第三方对局查询(结算时间) → 导出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「平台名称」列取值改为 NG / eBINGO / EGAMES，不再出现 Special Game；按当前查询条件（含平台名称）导出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第三方对局查询 → 导出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三方游戏统计（NG / eBINGO / EGAMES）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三张报表按注单平台名称分别导出 CSV，生成到【报表下载】；报表名和文件名同步改为 NG / eBINGO / EGAMES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三方游戏报表（新）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导出含游戏维度时，增加「平台名称」列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会员报表（第三方游戏报表）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按游戏维度导出时，增加「平台名称」列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数据报表 → 报表下载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修复前已生成的文件保留不覆盖；修复后重新生成的文件在文件名或备注中标注「分类修正后」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游戏管理 → 游戏入口设置 → 游戏配置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页面没有导出，本次不新增；全量检查所需的游戏分类清单由技术导出（见历史数据修复第 1 步）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取值来源</w:t>
      </w:r>
      <w:r>
        <w:rPr>
          <w:rFonts w:ascii="Microsoft YaHei" w:hAnsi="Microsoft YaHei" w:eastAsia="Microsoft YaHei" w:cs="Microsoft YaHei"/>
        </w:rPr>
        <w:t xml:space="preserve">：注单类导出取注单上的分类快照，游戏类导出取游戏表当前分类；导出时不重新计算。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字段与写法</w:t>
      </w:r>
      <w:r>
        <w:rPr>
          <w:rFonts w:ascii="Microsoft YaHei" w:hAnsi="Microsoft YaHei" w:eastAsia="Microsoft YaHei" w:cs="Microsoft YaHei"/>
        </w:rPr>
        <w:t xml:space="preserve">：列名统一为「平台名称」，取值只允许 NG / eBINGO / EGAMES，不得出现空值或旧写法。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口径</w:t>
      </w:r>
      <w:r>
        <w:rPr>
          <w:rFonts w:ascii="Microsoft YaHei" w:hAnsi="Microsoft YaHei" w:eastAsia="Microsoft YaHei" w:cs="Microsoft YaHei"/>
        </w:rPr>
        <w:t xml:space="preserve">：沿用现有导出规则：查询最长 31 天、UTC+8 自然日、过滤测试用户、金额 2 位小数、大数据量走【报表下载】异步生成。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一致性</w:t>
      </w:r>
      <w:r>
        <w:rPr>
          <w:rFonts w:ascii="Microsoft YaHei" w:hAnsi="Microsoft YaHei" w:eastAsia="Microsoft YaHei" w:cs="Microsoft YaHei"/>
        </w:rPr>
        <w:t xml:space="preserve">：导出行数和合计与页面「查询总计」一致；三类分别导出的合计，应等于不筛选平台名称时的导出合计。</w:t>
      </w:r>
    </w:p>
    <w:p>
      <w:pPr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权限与日志</w:t>
      </w:r>
      <w:r>
        <w:rPr>
          <w:rFonts w:ascii="Microsoft YaHei" w:hAnsi="Microsoft YaHei" w:eastAsia="Microsoft YaHei" w:cs="Microsoft YaHei"/>
        </w:rPr>
        <w:t xml:space="preserve">：导出权限沿用现有配置（查看与导出分开）；导出行为记入【日志管理 &gt; 操作日志】。</w:t>
      </w:r>
    </w:p>
    <w:bookmarkEnd w:id="30"/>
    <w:bookmarkStart w:id="31" w:name="历史数据修复与核对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历史数据修复与核对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上线后先修游戏配置，再按确认的范围回刷注单和报表，最后与 MegaXcess / PAGCOR 对账。每一步都要留存修改前后清单。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全量检查</w:t>
      </w:r>
      <w:r>
        <w:rPr>
          <w:rFonts w:ascii="Microsoft YaHei" w:hAnsi="Microsoft YaHei" w:eastAsia="Microsoft YaHei" w:cs="Microsoft YaHei"/>
        </w:rPr>
        <w:t xml:space="preserve">：导出全部游戏的「厂商 + 游戏ID + 游戏名称 + 当前分类 + 名单判定分类」，列出不一致清单，交产品和运营确认。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名单核对</w:t>
      </w:r>
      <w:r>
        <w:rPr>
          <w:rFonts w:ascii="Microsoft YaHei" w:hAnsi="Microsoft YaHei" w:eastAsia="Microsoft YaHei" w:cs="Microsoft YaHei"/>
        </w:rPr>
        <w:t xml:space="preserve">：确认 7 款 NG、13 款 eBINGO 在系统内都能找到对应游戏；找不到的单独列出，不能默认跳过。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修正游戏配置</w:t>
      </w:r>
      <w:r>
        <w:rPr>
          <w:rFonts w:ascii="Microsoft YaHei" w:hAnsi="Microsoft YaHei" w:eastAsia="Microsoft YaHei" w:cs="Microsoft YaHei"/>
        </w:rPr>
        <w:t xml:space="preserve">：按名单批量更新游戏表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Style w:val="VerbatimChar"/>
          <w:rFonts w:ascii="Microsoft YaHei" w:hAnsi="Microsoft YaHei" w:eastAsia="Microsoft YaHei" w:cs="Microsoft YaHei"/>
        </w:rPr>
        <w:t xml:space="preserve">platform_category</w:t>
      </w:r>
      <w:r>
        <w:rPr>
          <w:rFonts w:ascii="Microsoft YaHei" w:hAnsi="Microsoft YaHei" w:eastAsia="Microsoft YaHei" w:cs="Microsoft YaHei"/>
        </w:rPr>
        <w:t xml:space="preserve">，其余全部置为 EGAMES；记录操作日志。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回刷注单</w:t>
      </w:r>
      <w:r>
        <w:rPr>
          <w:rFonts w:ascii="Microsoft YaHei" w:hAnsi="Microsoft YaHei" w:eastAsia="Microsoft YaHei" w:cs="Microsoft YaHei"/>
        </w:rPr>
        <w:t xml:space="preserve">：对确认范围内的历史注单重算分类快照；起始日期由产品与技术确认。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重生成报表</w:t>
      </w:r>
      <w:r>
        <w:rPr>
          <w:rFonts w:ascii="Microsoft YaHei" w:hAnsi="Microsoft YaHei" w:eastAsia="Microsoft YaHei" w:cs="Microsoft YaHei"/>
        </w:rPr>
        <w:t xml:space="preserve">：重新生成受影响区间的三方游戏统计（NG / eBINGO / EGAMES），旧文件保留不覆盖。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对账</w:t>
      </w:r>
      <w:r>
        <w:rPr>
          <w:rFonts w:ascii="Microsoft YaHei" w:hAnsi="Microsoft YaHei" w:eastAsia="Microsoft YaHei" w:cs="Microsoft YaHei"/>
        </w:rPr>
        <w:t xml:space="preserve">：按天、按分类比对修复前后的投注、派彩、审计费用；三类合计应保持不变，只是在分类之间转移。差异清单交财务 / 合规与 MegaXcess 确认。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报表口径</w:t>
      </w:r>
      <w:r>
        <w:rPr>
          <w:rFonts w:ascii="Microsoft YaHei" w:hAnsi="Microsoft YaHei" w:eastAsia="Microsoft YaHei" w:cs="Microsoft YaHei"/>
        </w:rPr>
        <w:t xml:space="preserve">：按本地时区 UTC+8 自然日（0:00:00–23:59:59）统计，过滤测试用户（Test 前缀），金额保留 2 位小数。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执行方式</w:t>
      </w:r>
      <w:r>
        <w:rPr>
          <w:rFonts w:ascii="Microsoft YaHei" w:hAnsi="Microsoft YaHei" w:eastAsia="Microsoft YaHei" w:cs="Microsoft YaHei"/>
        </w:rPr>
        <w:t xml:space="preserve">：脚本先在 QA 环境跑一遍，结果确认后再上生产；生产执行选低峰时段，并准备回滚脚本。</w:t>
      </w:r>
    </w:p>
    <w:bookmarkEnd w:id="31"/>
    <w:bookmarkStart w:id="32" w:name="边界与异常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边界与异常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场景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游戏ID在名单内，但厂商不是名单对应厂商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不命中，归 EGAMES；判定必须是「厂商 + 游戏ID」同时匹配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同名但游戏ID不同（如不同版本）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按游戏ID判定；两份名单均标注 V. 1，后续新版本默认 EGAMES，需名单更新才归入 NG / eBINGO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运营改了游戏名称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不影响分类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编辑游戏时改了厂商或游戏ID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重新按名单判定并带出平台名称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打开分类错误的历史游戏编辑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红字提示应为 X，改对才能保存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绕过前端直接调接口保存错误分类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服务端拒绝并返回错误码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厂商同步新游戏时名单表不可用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不写空值；该游戏暂不入库或标记待处理并告警，技术选定其一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已停用 / 已删除的游戏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同样修正分类，历史注单仍需正确归类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跨日注单（下注与结算不在同一天）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快照以结算写入时为准，报表按现有口径归日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名单日后变更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技术配置 + 审批后生效；触发全量校验；是否追溯历史注单单独评审</w:t>
            </w:r>
          </w:p>
        </w:tc>
      </w:tr>
    </w:tbl>
    <w:bookmarkEnd w:id="32"/>
    <w:bookmarkStart w:id="33" w:name="验收标准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验收标准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游戏配置中恰好 7 款游戏为 NG、13 款为 eBINGO，与名单逐条一致；其余游戏全部为 EGAMES，没有空值。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修复完成后，列表中不再出现「分类异常」标记。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按平台名称筛选，列表只显示对应分类的游戏；重置后恢复全部。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添加游戏时，选厂商、填游戏ID后自动带出平台名称；名单内游戏选不了其他分类，名单外游戏只能选 EGAMES。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编辑分类错误的历史游戏时出现红字提示，不改对无法保存；改对后列表同步更新。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直接调用保存接口提交错误分类被拒绝。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厂商新同步的游戏自动得到正确分类。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对局查询（下注时间 / 结算时间）的平台名称选项为 NG / eBINGO / EGAMES，没有 Special Game；列表和导出一致。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三方游戏统计三张报表按新分类取数；修复前后同一天三类合计的投注、派彩、审计费用不变。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后台、API、注单、报表、导出的分类写法全部为 NG / eBINGO / EGAMES。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涉及的数据修改和游戏编辑都有操作日志（操作账号、时间、修改前后值）。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各导出文件都有「平台名称」列，取值只有 NG / eBINGO / EGAMES，与页面显示一致。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按平台名称筛选后导出，文件只含该分类数据；三类导出合计等于不筛选时的导出合计。</w:t>
      </w:r>
    </w:p>
    <w:p>
      <w:pPr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 w:cs="Microsoft YaHei"/>
        </w:rPr>
        <w:t xml:space="preserve">☐ 修复后重新生成的三方游戏统计文件在【报表下载】中可区分，修复前的文件保留。</w:t>
      </w:r>
    </w:p>
    <w:bookmarkEnd w:id="33"/>
    <w:bookmarkStart w:id="34" w:name="覆盖范围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覆盖范围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管理后台</w:t>
      </w:r>
      <w:r>
        <w:rPr>
          <w:rFonts w:ascii="Microsoft YaHei" w:hAnsi="Microsoft YaHei" w:eastAsia="Microsoft YaHei" w:cs="Microsoft YaHei"/>
        </w:rPr>
        <w:t xml:space="preserve">（PC）：游戏配置、对局查询、三方游戏统计及相关导出。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服务端</w:t>
      </w:r>
      <w:r>
        <w:rPr>
          <w:rFonts w:ascii="Microsoft YaHei" w:hAnsi="Microsoft YaHei" w:eastAsia="Microsoft YaHei" w:cs="Microsoft YaHei"/>
        </w:rPr>
        <w:t xml:space="preserve">：名单配置、游戏表、厂商同步、注单、报表任务、API。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C 端</w:t>
      </w:r>
      <w:r>
        <w:rPr>
          <w:rFonts w:ascii="Microsoft YaHei" w:hAnsi="Microsoft YaHei" w:eastAsia="Microsoft YaHei" w:cs="Microsoft YaHei"/>
        </w:rPr>
        <w:t xml:space="preserve">（H5 / PC / PWA / Android APP / iOS / Maya · Glife 小程序）：无页面改动，前台游戏入口仍按「游戏类别」展示。若前台接口返回了分类字段，需确认没有依赖旧取值。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Microsoft YaHei" w:hAnsi="Microsoft YaHei" w:eastAsia="Microsoft YaHei" w:cs="Microsoft YaHei"/>
          <w:b/>
          <w:color w:val="222222"/>
        </w:rPr>
        <w:t xml:space="preserve">代理后台</w:t>
      </w:r>
      <w:r>
        <w:rPr>
          <w:rFonts w:ascii="Microsoft YaHei" w:hAnsi="Microsoft YaHei" w:eastAsia="Microsoft YaHei" w:cs="Microsoft YaHei"/>
        </w:rPr>
        <w:t xml:space="preserve">：如报表按平台分类统计，需同步口径（待确认）。</w:t>
      </w:r>
    </w:p>
    <w:bookmarkEnd w:id="34"/>
    <w:bookmarkStart w:id="35" w:name="检查清单对照"/>
    <w:p>
      <w:pPr>
        <w:pStyle w:val="Heading2"/>
        <w:pBdr>
          <w:bottom w:val="single" w:sz="6" w:space="4" w:color="D6DEE8"/>
        </w:pBdr>
      </w:pPr>
      <w:r>
        <w:rPr>
          <w:rFonts w:ascii="Microsoft YaHei" w:hAnsi="Microsoft YaHei" w:eastAsia="Microsoft YaHei" w:cs="Microsoft YaHei"/>
          <w:b/>
        </w:rPr>
        <w:t xml:space="preserve">检查清单对照</w:t>
      </w:r>
    </w:p>
    <w:p>
      <w:pPr>
        <w:pStyle w:val="FirstParagraph"/>
      </w:pPr>
      <w:r>
        <w:rPr>
          <w:rFonts w:ascii="Microsoft YaHei" w:hAnsi="Microsoft YaHei" w:eastAsia="Microsoft YaHei" w:cs="Microsoft YaHei"/>
        </w:rPr>
        <w:t xml:space="preserve">对照知识库第 18 章检查清单：本需求涉及合规、报表、时区、数据查询、操作日志与权限、覆盖端 6 项；不涉及 KYC、账号状态、活动配置、营销费用、账变通知、流水提现、充值渠道、风控。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D6DEE8"/>
          <w:bottom w:val="single" w:sz="4" w:color="D6DEE8"/>
          <w:insideH w:val="single" w:sz="4" w:color="D6DEE8"/>
          <w:left w:val="single" w:sz="4" w:color="E6EBF1"/>
          <w:right w:val="single" w:sz="4" w:color="E6EBF1"/>
          <w:insideV w:val="single" w:sz="4" w:color="E6EBF1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检查项</w:t>
            </w:r>
          </w:p>
        </w:tc>
        <w:tc>
          <w:tcPr>
            <w:shd w:val="clear" w:color="auto" w:fill="E8F0F8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F3864"/>
                <w:sz w:val="20"/>
              </w:rPr>
              <w:t xml:space="preserve">本需求的处理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 覆盖端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仅后台 + 服务端，C 端无页面改动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3 NDRP / PAGCOR 合规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核心：分类需与 MegaXcess / PAGCOR 名单一致，影响审计抽成报表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11 时区与时间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报表按 UTC+8 自然日；后台显示时间为 −04:00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12 数据查询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查询最长 31 天、导出走【报表下载】、过滤测试用户、金额 2 位小数，沿用现有规则</w:t>
            </w:r>
          </w:p>
        </w:tc>
      </w:tr>
      <w:tr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13 操作日志与权限</w:t>
            </w:r>
          </w:p>
        </w:tc>
        <w:tc>
          <w:tcPr/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游戏编辑、批量修复记入【日志管理 &gt; 操作日志】；名单只读，后台无修改入口；PAGCOR 权限菜单是否需要看到名单待确认</w:t>
            </w:r>
          </w:p>
        </w:tc>
      </w:tr>
      <w:tr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15 原型规范</w:t>
            </w:r>
          </w:p>
        </w:tc>
        <w:tc>
          <w:tcPr>
            <w:shd w:val="clear" w:color="auto" w:fill="F7F9FC"/>
          </w:tcPr>
          <w:p>
            <w:pPr>
              <w:pStyle w:val="Compact"/>
              <w:spacing w:line="312" w:lineRule="auto" w:after="0" w:before="0"/>
              <w:jc w:val="left"/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</w:rPr>
              <w:t xml:space="preserve">已写菜单路径、页面说明、边界与异常、验收标准；无 C 端文案；无需 UI 设计</w:t>
            </w:r>
          </w:p>
        </w:tc>
      </w:tr>
    </w:tbl>
    <w:bookmarkEnd w:id="35"/>
    <w:bookmarkEnd w:id="36"/>
    <w:sectPr>
      <w:headerReference w:type="default" r:id="rId9"/>
      <w:footerReference w:type="default" r:id="rId10"/>
      <w:pgSz w:w="11906" w:h="16838"/>
      <w:pgMar w:left="1304" w:right="1304" w:top="1304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80868F"/>
        <w:sz w:val="18"/>
      </w:rPr>
      <w:t xml:space="preserve">第 </w:t>
    </w:r>
    <w:r>
      <w:rPr>
        <w:rFonts w:ascii="Microsoft YaHei" w:hAnsi="Microsoft YaHei" w:eastAsia="Microsoft YaHei" w:cs="Microsoft YaHei"/>
        <w:color w:val="80868F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80868F"/>
        <w:sz w:val="18"/>
      </w:rPr>
      <w:t xml:space="preserve"> 页 / 共 </w:t>
    </w:r>
    <w:r>
      <w:rPr>
        <w:rFonts w:ascii="Microsoft YaHei" w:hAnsi="Microsoft YaHei" w:eastAsia="Microsoft YaHei" w:cs="Microsoft YaHei"/>
        <w:color w:val="80868F"/>
        <w:sz w:val="18"/>
      </w:rPr>
      <w:fldChar w:fldCharType="begin"/>
      <w:instrText xml:space="preserve"> NUMPAGES </w:instrText>
      <w:fldChar w:fldCharType="end"/>
    </w:r>
    <w:r>
      <w:rPr>
        <w:rFonts w:ascii="Microsoft YaHei" w:hAnsi="Microsoft YaHei" w:eastAsia="Microsoft YaHei" w:cs="Microsoft YaHei"/>
        <w:color w:val="80868F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80868F"/>
        <w:sz w:val="18"/>
      </w:rPr>
      <w:t>PAGCOR游戏分类修正 PRD · V1.0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 w:before="0"/>
    </w:pPr>
    <w:rPr>
      <w:rFonts w:ascii="Microsoft YaHei" w:hAnsi="Microsoft YaHei" w:eastAsia="Microsoft YaHei" w:cs="Microsoft YaHei"/>
      <w:color w:val="333333"/>
      <w:sz w:val="22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  <w:rPr>
      <w:rFonts w:ascii="Microsoft YaHei" w:hAnsi="Microsoft YaHei" w:eastAsia="Microsoft YaHei" w:cs="Microsoft YaHei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 w:before="0"/>
    </w:pPr>
    <w:rPr>
      <w:rFonts w:ascii="Microsoft YaHei" w:hAnsi="Microsoft YaHei" w:eastAsia="Microsoft YaHei" w:cs="Microsoft YaHei"/>
      <w:color w:val="333333"/>
      <w:sz w:val="22"/>
    </w:rPr>
  </w:style>
  <w:style w:customStyle="1" w:styleId="Compact" w:type="paragraph">
    <w:name w:val="Compact"/>
    <w:basedOn w:val="BodyText"/>
    <w:qFormat/>
    <w:pPr>
      <w:spacing w:after="60" w:before="0" w:line="360" w:lineRule="auto"/>
    </w:pPr>
    <w:rPr>
      <w:rFonts w:ascii="Microsoft YaHei" w:hAnsi="Microsoft YaHei" w:eastAsia="Microsoft YaHei" w:cs="Microsoft YaHei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icrosoft YaHei" w:hAnsi="Microsoft YaHei" w:eastAsia="Microsoft YaHei" w:cs="Microsoft YaHei"/>
      <w:b/>
      <w:bCs/>
      <w:color w:val="1F1F1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 w:cs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 w:cs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 w:cs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 w:cs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 w:cs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 w:line="288" w:lineRule="auto"/>
      <w:outlineLvl w:val="0"/>
    </w:pPr>
    <w:rPr>
      <w:rFonts w:ascii="Microsoft YaHei" w:hAnsi="Microsoft YaHei" w:eastAsia="Microsoft YaHei" w:cs="Microsoft YaHei"/>
      <w:b/>
      <w:bCs/>
      <w:color w:val="1F386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400" w:line="312" w:lineRule="auto"/>
      <w:outlineLvl w:val="1"/>
    </w:pPr>
    <w:rPr>
      <w:rFonts w:ascii="Microsoft YaHei" w:hAnsi="Microsoft YaHei" w:eastAsia="Microsoft YaHei" w:cs="Microsoft YaHei"/>
      <w:b/>
      <w:bCs/>
      <w:color w:val="1F4E79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80" w:line="312" w:lineRule="auto"/>
      <w:outlineLvl w:val="2"/>
    </w:pPr>
    <w:rPr>
      <w:rFonts w:ascii="Microsoft YaHei" w:hAnsi="Microsoft YaHei" w:eastAsia="Microsoft YaHei" w:cs="Microsoft YaHei"/>
      <w:b/>
      <w:bCs/>
      <w:color w:val="2E5C8A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icrosoft YaHei" w:hAnsi="Microsoft YaHei" w:eastAsia="Microsoft YaHei" w:cs="Microsoft YaHei"/>
      <w:i/>
      <w:b/>
      <w:bCs/>
      <w:color w:val="1F1F1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icrosoft YaHei" w:hAnsi="Microsoft YaHei" w:eastAsia="Microsoft YaHei" w:cs="Microsoft YaHei"/>
      <w:b/>
      <w:iCs/>
      <w:color w:val="1F1F1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icrosoft YaHei" w:hAnsi="Microsoft YaHei" w:eastAsia="Microsoft YaHei" w:cs="Microsoft YaHei"/>
      <w:b/>
      <w:color w:val="1F1F1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icrosoft YaHei" w:hAnsi="Microsoft YaHei" w:eastAsia="Microsoft YaHei" w:cs="Microsoft YaHei"/>
      <w:b/>
      <w:color w:val="1F1F1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icrosoft YaHei" w:hAnsi="Microsoft YaHei" w:eastAsia="Microsoft YaHei" w:cs="Microsoft YaHei"/>
      <w:b/>
      <w:color w:val="1F1F1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icrosoft YaHei" w:hAnsi="Microsoft YaHei" w:eastAsia="Microsoft YaHei" w:cs="Microsoft YaHei"/>
      <w:b/>
      <w:color w:val="1F1F1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 w:cs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 w:cs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 w:cs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 w:cs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 w:cs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 w:cs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 w:cs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 w:cs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 w:cs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 w:cs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 w:cs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 w:cs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 w:cs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 w:cs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 w:cs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 w:cs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icrosoft YaHei" w:hAnsi="Microsoft YaHei" w:eastAsia="Microsoft YaHei" w:cs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 w:cs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 w:cs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 w:cs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 w:cs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 w:cs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 w:cs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 w:cs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 w:cs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 w:cs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 w:cs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 w:cs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 w:cs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 w:cs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 w:cs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 w:cs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 w:cs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 w:cs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 w:cs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 w:cs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 w:cs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 w:cs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 w:cs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 w:cs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 w:cs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 w:cs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 w:cs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 w:cs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2026-09-30T04:33:00Z</dcterms:created>
  <dcterms:modified xsi:type="dcterms:W3CDTF">2026-09-30T04:33:00Z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