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Alembic S4: Ticker Resolution e Sentiment Engine</w:t>
      </w:r>
    </w:p>
    <w:p>
      <w:pPr>
        <w:jc w:val="center"/>
      </w:pPr>
      <w:r>
        <w:rPr>
          <w:color w:val="505050"/>
          <w:sz w:val="26"/>
        </w:rPr>
        <w:t>Documento tecnico di approfondimento per news-driven trading signal</w:t>
      </w:r>
    </w:p>
    <w:p>
      <w:pPr>
        <w:jc w:val="center"/>
      </w:pPr>
      <w:r>
        <w:rPr>
          <w:i/>
          <w:sz w:val="20"/>
        </w:rPr>
        <w:t>Versione 1.0 - 29 giugno 2026</w:t>
      </w:r>
    </w:p>
    <w:tbl>
      <w:tblPr>
        <w:tblW w:type="auto" w:w="0"/>
        <w:jc w:val="center"/>
        <w:tblLayout w:type="autofit"/>
        <w:tblLook w:firstColumn="1" w:firstRow="1" w:lastColumn="0" w:lastRow="0" w:noHBand="0" w:noVBand="1" w:val="04A0"/>
      </w:tblPr>
      <w:tblGrid>
        <w:gridCol w:w="10224"/>
      </w:tblGrid>
      <w:tr>
        <w:tc>
          <w:tcPr>
            <w:tcW w:type="dxa" w:w="10224"/>
            <w:shd w:fill="FFF2CC"/>
            <w:vAlign w:val="center"/>
          </w:tcPr>
          <w:p>
            <w:pPr>
              <w:spacing w:after="80"/>
            </w:pPr>
            <w:r>
              <w:rPr>
                <w:b/>
                <w:sz w:val="20"/>
              </w:rPr>
              <w:t>Disclaimer operativo</w:t>
            </w:r>
          </w:p>
          <w:p>
            <w:pPr>
              <w:spacing w:after="0"/>
            </w:pPr>
            <w:r>
              <w:rPr>
                <w:sz w:val="18"/>
              </w:rPr>
              <w:t>Questo documento descrive un design tecnico per estrazione di ticker, classificazione del sentiment e generazione di segnali quantitativi. Non costituisce consulenza finanziaria, raccomandazione di investimento o sollecitazione all'acquisto/vendita di strumenti finanziari.</w:t>
            </w:r>
          </w:p>
        </w:tc>
      </w:tr>
    </w:tbl>
    <w:p/>
    <w:p>
      <w:pPr>
        <w:jc w:val="center"/>
      </w:pPr>
      <w:r>
        <w:rPr>
          <w:b/>
          <w:sz w:val="22"/>
        </w:rPr>
        <w:t>Obiettivo: ridurre false associazioni ticker-news, distinguere sentiment per emittente e usare FinBERT come auditor del sentiment, non come arbitro generale.</w:t>
      </w:r>
    </w:p>
    <w:p>
      <w:r>
        <w:br w:type="page"/>
      </w:r>
    </w:p>
    <w:p>
      <w:pPr>
        <w:pStyle w:val="Heading1"/>
      </w:pPr>
      <w:r>
        <w:t>Indice</w:t>
      </w:r>
    </w:p>
    <w:p>
      <w:pPr>
        <w:pStyle w:val="ListBullet"/>
        <w:spacing w:after="40"/>
      </w:pPr>
      <w:r>
        <w:t>1. Executive summary</w:t>
      </w:r>
    </w:p>
    <w:p>
      <w:pPr>
        <w:pStyle w:val="ListBullet"/>
        <w:spacing w:after="40"/>
      </w:pPr>
      <w:r>
        <w:t>2. Stato attuale di Alembic S4</w:t>
      </w:r>
    </w:p>
    <w:p>
      <w:pPr>
        <w:pStyle w:val="ListBullet"/>
        <w:spacing w:after="40"/>
      </w:pPr>
      <w:r>
        <w:t>3. Problema principale: ticker e sentiment non sono lo stesso task</w:t>
      </w:r>
    </w:p>
    <w:p>
      <w:pPr>
        <w:pStyle w:val="ListBullet"/>
        <w:spacing w:after="40"/>
      </w:pPr>
      <w:r>
        <w:t>4. Architettura proposta per ticker resolution</w:t>
      </w:r>
    </w:p>
    <w:p>
      <w:pPr>
        <w:pStyle w:val="ListBullet"/>
        <w:spacing w:after="40"/>
      </w:pPr>
      <w:r>
        <w:t>5. Sentiment issuer-specific</w:t>
      </w:r>
    </w:p>
    <w:p>
      <w:pPr>
        <w:pStyle w:val="ListBullet"/>
        <w:spacing w:after="40"/>
      </w:pPr>
      <w:r>
        <w:t>6. Ruolo di Kimi K2.6, GLM-5.2 e FinBERT</w:t>
      </w:r>
    </w:p>
    <w:p>
      <w:pPr>
        <w:pStyle w:val="ListBullet"/>
        <w:spacing w:after="40"/>
      </w:pPr>
      <w:r>
        <w:t>7. Reconciliation e regole di voto</w:t>
      </w:r>
    </w:p>
    <w:p>
      <w:pPr>
        <w:pStyle w:val="ListBullet"/>
        <w:spacing w:after="40"/>
      </w:pPr>
      <w:r>
        <w:t>8. Schema dati, Redis e persistence</w:t>
      </w:r>
    </w:p>
    <w:p>
      <w:pPr>
        <w:pStyle w:val="ListBullet"/>
        <w:spacing w:after="40"/>
      </w:pPr>
      <w:r>
        <w:t>9. Prompt e JSON schema consigliati</w:t>
      </w:r>
    </w:p>
    <w:p>
      <w:pPr>
        <w:pStyle w:val="ListBullet"/>
        <w:spacing w:after="40"/>
      </w:pPr>
      <w:r>
        <w:t>10. Metriche, backtest e gate di validazione</w:t>
      </w:r>
    </w:p>
    <w:p>
      <w:pPr>
        <w:pStyle w:val="ListBullet"/>
        <w:spacing w:after="40"/>
      </w:pPr>
      <w:r>
        <w:t>11. Roadmap implementativa</w:t>
      </w:r>
    </w:p>
    <w:p>
      <w:pPr>
        <w:pStyle w:val="ListBullet"/>
        <w:spacing w:after="40"/>
      </w:pPr>
      <w:r>
        <w:t>12. Appendici tecniche</w:t>
      </w:r>
    </w:p>
    <w:p>
      <w:pPr>
        <w:pStyle w:val="ListBullet"/>
        <w:spacing w:after="40"/>
      </w:pPr>
      <w:r>
        <w:t>13. Fonti consultate</w:t>
      </w:r>
    </w:p>
    <w:p>
      <w:r>
        <w:br w:type="page"/>
      </w:r>
    </w:p>
    <w:p>
      <w:pPr>
        <w:pStyle w:val="Heading1"/>
      </w:pPr>
      <w:r>
        <w:t>1. Executive summary</w:t>
      </w:r>
    </w:p>
    <w:p>
      <w:r>
        <w:t>La strategia S4 di Alembic è già impostata correttamente su un principio importante: gli LLM lavorano offline e producono segnali pre-calcolati, mentre l'execution engine legge solo segnali già disponibili in Redis. Questo evita che timeout, latenza o errori dei modelli blocchino l'esecuzione degli ordini.</w:t>
      </w:r>
    </w:p>
    <w:p>
      <w:r>
        <w:t>Il punto da rafforzare è a monte del segnale: oggi il flusso S4 sembra fidarsi del campo ticker già presente in news_log e poi aggrega polarity e confidence dei modelli. La raccomandazione è separare formalmente tre task:</w:t>
      </w:r>
    </w:p>
    <w:p>
      <w:pPr>
        <w:pStyle w:val="ListNumber"/>
        <w:spacing w:after="40"/>
      </w:pPr>
      <w:r>
        <w:t>Entity extraction: quali società, asset o settori sono menzionati nella news?</w:t>
      </w:r>
    </w:p>
    <w:p>
      <w:pPr>
        <w:pStyle w:val="ListNumber"/>
        <w:spacing w:after="40"/>
      </w:pPr>
      <w:r>
        <w:t>Ticker resolution: quale strumento finanziario quotato, tradabile e non ambiguo corrisponde all'entità?</w:t>
      </w:r>
    </w:p>
    <w:p>
      <w:pPr>
        <w:pStyle w:val="ListNumber"/>
        <w:spacing w:after="40"/>
      </w:pPr>
      <w:r>
        <w:t>Issuer-specific sentiment: qual è l'impatto della news su ciascun emittente, non sulla news in generale?</w:t>
      </w:r>
    </w:p>
    <w:tbl>
      <w:tblPr>
        <w:tblW w:type="auto" w:w="0"/>
        <w:jc w:val="center"/>
        <w:tblLayout w:type="autofit"/>
        <w:tblLook w:firstColumn="1" w:firstRow="1" w:lastColumn="0" w:lastRow="0" w:noHBand="0" w:noVBand="1" w:val="04A0"/>
      </w:tblPr>
      <w:tblGrid>
        <w:gridCol w:w="10224"/>
      </w:tblGrid>
      <w:tr>
        <w:tc>
          <w:tcPr>
            <w:tcW w:type="dxa" w:w="10224"/>
            <w:shd w:fill="E2F0D9"/>
            <w:vAlign w:val="center"/>
          </w:tcPr>
          <w:p>
            <w:pPr>
              <w:spacing w:after="80"/>
            </w:pPr>
            <w:r>
              <w:rPr>
                <w:b/>
                <w:sz w:val="20"/>
              </w:rPr>
              <w:t>Raccomandazione centrale</w:t>
            </w:r>
          </w:p>
          <w:p>
            <w:pPr>
              <w:spacing w:after="0"/>
            </w:pPr>
            <w:r>
              <w:rPr>
                <w:sz w:val="18"/>
              </w:rPr>
              <w:t>Kimi K2.6 e GLM-5.2 devono produrre candidati, spiegazioni e materialità. Il ticker finale deve essere deciso da un resolver deterministico. FinBERT deve auditare il sentiment sulle frasi rilevanti, non scegliere ticker o decidere buy/sell.</w:t>
            </w:r>
          </w:p>
        </w:tc>
      </w:tr>
    </w:tbl>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872"/>
            <w:shd w:fill="1F4E79"/>
          </w:tcPr>
          <w:p>
            <w:pPr>
              <w:spacing w:after="0"/>
            </w:pPr>
            <w:r>
              <w:rPr>
                <w:color w:val="FFFFFF"/>
              </w:rPr>
            </w:r>
            <w:r>
              <w:rPr>
                <w:b/>
                <w:color w:val="FFFFFF"/>
                <w:sz w:val="16"/>
              </w:rPr>
              <w:t>Area</w:t>
            </w:r>
          </w:p>
        </w:tc>
        <w:tc>
          <w:tcPr>
            <w:tcW w:type="dxa" w:w="3744"/>
            <w:shd w:fill="1F4E79"/>
          </w:tcPr>
          <w:p>
            <w:pPr>
              <w:spacing w:after="0"/>
            </w:pPr>
            <w:r>
              <w:rPr>
                <w:color w:val="FFFFFF"/>
              </w:rPr>
            </w:r>
            <w:r>
              <w:rPr>
                <w:b/>
                <w:color w:val="FFFFFF"/>
                <w:sz w:val="16"/>
              </w:rPr>
              <w:t>Stato attuale</w:t>
            </w:r>
          </w:p>
        </w:tc>
        <w:tc>
          <w:tcPr>
            <w:tcW w:type="dxa" w:w="4608"/>
            <w:shd w:fill="1F4E79"/>
          </w:tcPr>
          <w:p>
            <w:pPr>
              <w:spacing w:after="0"/>
            </w:pPr>
            <w:r>
              <w:rPr>
                <w:color w:val="FFFFFF"/>
              </w:rPr>
            </w:r>
            <w:r>
              <w:rPr>
                <w:b/>
                <w:color w:val="FFFFFF"/>
                <w:sz w:val="16"/>
              </w:rPr>
              <w:t>Modifica consigliata</w:t>
            </w:r>
          </w:p>
        </w:tc>
      </w:tr>
      <w:tr>
        <w:tc>
          <w:tcPr>
            <w:tcW w:type="dxa" w:w="1872"/>
          </w:tcPr>
          <w:p>
            <w:pPr>
              <w:spacing w:after="0"/>
            </w:pPr>
            <w:r/>
            <w:r>
              <w:rPr>
                <w:b w:val="0"/>
                <w:sz w:val="16"/>
              </w:rPr>
              <w:t>Ticker</w:t>
            </w:r>
          </w:p>
        </w:tc>
        <w:tc>
          <w:tcPr>
            <w:tcW w:type="dxa" w:w="3744"/>
          </w:tcPr>
          <w:p>
            <w:pPr>
              <w:spacing w:after="0"/>
            </w:pPr>
            <w:r/>
            <w:r>
              <w:rPr>
                <w:b w:val="0"/>
                <w:sz w:val="16"/>
              </w:rPr>
              <w:t>Arriva spesso dalla fonte o dal campo news_log(ticker).</w:t>
            </w:r>
          </w:p>
        </w:tc>
        <w:tc>
          <w:tcPr>
            <w:tcW w:type="dxa" w:w="4608"/>
          </w:tcPr>
          <w:p>
            <w:pPr>
              <w:spacing w:after="0"/>
            </w:pPr>
            <w:r/>
            <w:r>
              <w:rPr>
                <w:b w:val="0"/>
                <w:sz w:val="16"/>
              </w:rPr>
              <w:t>Introdurre Entity/Ticker Resolution Worker con SEC/OpenFIGI/alias/tradability check.</w:t>
            </w:r>
          </w:p>
        </w:tc>
      </w:tr>
      <w:tr>
        <w:tc>
          <w:tcPr>
            <w:tcW w:type="dxa" w:w="1872"/>
          </w:tcPr>
          <w:p>
            <w:pPr>
              <w:spacing w:after="0"/>
            </w:pPr>
            <w:r/>
            <w:r>
              <w:rPr>
                <w:b w:val="0"/>
                <w:sz w:val="16"/>
              </w:rPr>
              <w:t>Sentiment</w:t>
            </w:r>
          </w:p>
        </w:tc>
        <w:tc>
          <w:tcPr>
            <w:tcW w:type="dxa" w:w="3744"/>
          </w:tcPr>
          <w:p>
            <w:pPr>
              <w:spacing w:after="0"/>
            </w:pPr>
            <w:r/>
            <w:r>
              <w:rPr>
                <w:b w:val="0"/>
                <w:sz w:val="16"/>
              </w:rPr>
              <w:t>Score_i = polarity_i x confidence_i; fallback FinBERT se std &gt; 0.30.</w:t>
            </w:r>
          </w:p>
        </w:tc>
        <w:tc>
          <w:tcPr>
            <w:tcW w:type="dxa" w:w="4608"/>
          </w:tcPr>
          <w:p>
            <w:pPr>
              <w:spacing w:after="0"/>
            </w:pPr>
            <w:r/>
            <w:r>
              <w:rPr>
                <w:b w:val="0"/>
                <w:sz w:val="16"/>
              </w:rPr>
              <w:t>Score issuer-specific: polarity x confidence x materiality x novelty x directness x source quality.</w:t>
            </w:r>
          </w:p>
        </w:tc>
      </w:tr>
      <w:tr>
        <w:tc>
          <w:tcPr>
            <w:tcW w:type="dxa" w:w="1872"/>
          </w:tcPr>
          <w:p>
            <w:pPr>
              <w:spacing w:after="0"/>
            </w:pPr>
            <w:r/>
            <w:r>
              <w:rPr>
                <w:b w:val="0"/>
                <w:sz w:val="16"/>
              </w:rPr>
              <w:t>FinBERT</w:t>
            </w:r>
          </w:p>
        </w:tc>
        <w:tc>
          <w:tcPr>
            <w:tcW w:type="dxa" w:w="3744"/>
          </w:tcPr>
          <w:p>
            <w:pPr>
              <w:spacing w:after="0"/>
            </w:pPr>
            <w:r/>
            <w:r>
              <w:rPr>
                <w:b w:val="0"/>
                <w:sz w:val="16"/>
              </w:rPr>
              <w:t>Fallback quando i modelli divergono.</w:t>
            </w:r>
          </w:p>
        </w:tc>
        <w:tc>
          <w:tcPr>
            <w:tcW w:type="dxa" w:w="4608"/>
          </w:tcPr>
          <w:p>
            <w:pPr>
              <w:spacing w:after="0"/>
            </w:pPr>
            <w:r/>
            <w:r>
              <w:rPr>
                <w:b w:val="0"/>
                <w:sz w:val="16"/>
              </w:rPr>
              <w:t>Auditor solo per polarity divergence, applicato alle evidence sentences.</w:t>
            </w:r>
          </w:p>
        </w:tc>
      </w:tr>
      <w:tr>
        <w:tc>
          <w:tcPr>
            <w:tcW w:type="dxa" w:w="1872"/>
          </w:tcPr>
          <w:p>
            <w:pPr>
              <w:spacing w:after="0"/>
            </w:pPr>
            <w:r/>
            <w:r>
              <w:rPr>
                <w:b w:val="0"/>
                <w:sz w:val="16"/>
              </w:rPr>
              <w:t>Trading signal</w:t>
            </w:r>
          </w:p>
        </w:tc>
        <w:tc>
          <w:tcPr>
            <w:tcW w:type="dxa" w:w="3744"/>
          </w:tcPr>
          <w:p>
            <w:pPr>
              <w:spacing w:after="0"/>
            </w:pPr>
            <w:r/>
            <w:r>
              <w:rPr>
                <w:b w:val="0"/>
                <w:sz w:val="16"/>
              </w:rPr>
              <w:t>Score positivo entra, score negativo può chiudere posizione.</w:t>
            </w:r>
          </w:p>
        </w:tc>
        <w:tc>
          <w:tcPr>
            <w:tcW w:type="dxa" w:w="4608"/>
          </w:tcPr>
          <w:p>
            <w:pPr>
              <w:spacing w:after="0"/>
            </w:pPr>
            <w:r/>
            <w:r>
              <w:rPr>
                <w:b w:val="0"/>
                <w:sz w:val="16"/>
              </w:rPr>
              <w:t>Separare sentiment_score da trade_action: LONG_ENTRY, EXIT_LONG, NO_TRADE.</w:t>
            </w:r>
          </w:p>
        </w:tc>
      </w:tr>
    </w:tbl>
    <w:p>
      <w:pPr>
        <w:spacing w:after="0"/>
      </w:pPr>
    </w:p>
    <w:p>
      <w:pPr>
        <w:pStyle w:val="Heading1"/>
      </w:pPr>
      <w:r>
        <w:t>2. Stato attuale di Alembic S4</w:t>
      </w:r>
    </w:p>
    <w:p>
      <w:r>
        <w:t>Dalla guida architetturale condivisa, Alembic usa un portfolio multi-strategia. La componente rilevante per questo documento è S4, News-Driven Tactical, in paper trading con allocazione del 10% del portafoglio. S4 acquisisce news ogni 15 minuti durante il mercato, passa i contenuti a un ensemble LLM e salva un segnale sentiment in Redis.</w:t>
      </w:r>
    </w:p>
    <w:p>
      <w:pPr>
        <w:spacing w:after="40"/>
      </w:pPr>
      <w:r>
        <w:rPr>
          <w:b/>
          <w:color w:val="505050"/>
          <w:sz w:val="18"/>
        </w:rPr>
        <w:t>Flusso attuale semplificato</w:t>
      </w:r>
    </w:p>
    <w:p>
      <w:pPr>
        <w:pStyle w:val="CodeBlock"/>
      </w:pPr>
      <w:r>
        <w:rPr>
          <w:rFonts w:ascii="Courier New" w:hAnsi="Courier New" w:eastAsia="Courier New"/>
          <w:sz w:val="16"/>
        </w:rPr>
        <w:t>[News: GDELT / MarketAux / Alpaca / Reuters RSS / CNBC RSS]</w:t>
      </w:r>
    </w:p>
    <w:p>
      <w:pPr>
        <w:pStyle w:val="CodeBlock"/>
      </w:pPr>
      <w:r>
        <w:rPr>
          <w:rFonts w:ascii="Courier New" w:hAnsi="Courier New" w:eastAsia="Courier New"/>
          <w:sz w:val="16"/>
        </w:rPr>
        <w:t xml:space="preserve">         ↓  ogni 15 min</w:t>
      </w:r>
    </w:p>
    <w:p>
      <w:pPr>
        <w:pStyle w:val="CodeBlock"/>
      </w:pPr>
      <w:r>
        <w:rPr>
          <w:rFonts w:ascii="Courier New" w:hAnsi="Courier New" w:eastAsia="Courier New"/>
          <w:sz w:val="16"/>
        </w:rPr>
        <w:t>[LLM Ensemble Worker] ──→ Redis: signal:{symbol}:sentiment</w:t>
      </w:r>
    </w:p>
    <w:p>
      <w:pPr>
        <w:pStyle w:val="CodeBlock"/>
      </w:pPr>
      <w:r>
        <w:rPr>
          <w:rFonts w:ascii="Courier New" w:hAnsi="Courier New" w:eastAsia="Courier New"/>
          <w:sz w:val="16"/>
        </w:rPr>
        <w:t xml:space="preserve">         ↑ offline, asincrono</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[Portfolio Scheduler] ──→ legge segnali da Redis</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[Risk Constraints + Vol Targeting] ──→ [Alpaca Paper/Live API]</w:t>
      </w:r>
    </w:p>
    <w:p>
      <w:r>
        <w:t>Il design è robusto dal punto di vista operativo perché disaccoppia analisi LLM ed esecuzione. Il documento propone di mantenere questo pattern, inserendo però un layer obbligatorio di risoluzione ticker prima del sentiment worker e migliorando l'aggregazione del sentiment.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015"/>
            <w:shd w:fill="1F4E79"/>
          </w:tcPr>
          <w:p>
            <w:pPr>
              <w:spacing w:after="0"/>
            </w:pPr>
            <w:r>
              <w:rPr>
                <w:color w:val="FFFFFF"/>
              </w:rPr>
            </w:r>
            <w:r>
              <w:rPr>
                <w:b/>
                <w:color w:val="FFFFFF"/>
                <w:sz w:val="16"/>
              </w:rPr>
              <w:t>Componente S4</w:t>
            </w:r>
          </w:p>
        </w:tc>
        <w:tc>
          <w:tcPr>
            <w:tcW w:type="dxa" w:w="3168"/>
            <w:shd w:fill="1F4E79"/>
          </w:tcPr>
          <w:p>
            <w:pPr>
              <w:spacing w:after="0"/>
            </w:pPr>
            <w:r>
              <w:rPr>
                <w:color w:val="FFFFFF"/>
              </w:rPr>
            </w:r>
            <w:r>
              <w:rPr>
                <w:b/>
                <w:color w:val="FFFFFF"/>
                <w:sz w:val="16"/>
              </w:rPr>
              <w:t>Parametro attuale</w:t>
            </w:r>
          </w:p>
        </w:tc>
        <w:tc>
          <w:tcPr>
            <w:tcW w:type="dxa" w:w="5040"/>
            <w:shd w:fill="1F4E79"/>
          </w:tcPr>
          <w:p>
            <w:pPr>
              <w:spacing w:after="0"/>
            </w:pPr>
            <w:r>
              <w:rPr>
                <w:color w:val="FFFFFF"/>
              </w:rPr>
            </w:r>
            <w:r>
              <w:rPr>
                <w:b/>
                <w:color w:val="FFFFFF"/>
                <w:sz w:val="16"/>
              </w:rPr>
              <w:t>Osservazione</w:t>
            </w:r>
          </w:p>
        </w:tc>
      </w:tr>
      <w:tr>
        <w:tc>
          <w:tcPr>
            <w:tcW w:type="dxa" w:w="2015"/>
          </w:tcPr>
          <w:p>
            <w:pPr>
              <w:spacing w:after="0"/>
            </w:pPr>
            <w:r/>
            <w:r>
              <w:rPr>
                <w:b w:val="0"/>
                <w:sz w:val="16"/>
              </w:rPr>
              <w:t>Fonti</w:t>
            </w:r>
          </w:p>
        </w:tc>
        <w:tc>
          <w:tcPr>
            <w:tcW w:type="dxa" w:w="3168"/>
          </w:tcPr>
          <w:p>
            <w:pPr>
              <w:spacing w:after="0"/>
            </w:pPr>
            <w:r/>
            <w:r>
              <w:rPr>
                <w:b w:val="0"/>
                <w:sz w:val="16"/>
              </w:rPr>
              <w:t>GDELT, MarketAux, Alpaca, Reuters/CNBC RSS</w:t>
            </w:r>
          </w:p>
        </w:tc>
        <w:tc>
          <w:tcPr>
            <w:tcW w:type="dxa" w:w="5040"/>
          </w:tcPr>
          <w:p>
            <w:pPr>
              <w:spacing w:after="0"/>
            </w:pPr>
            <w:r/>
            <w:r>
              <w:rPr>
                <w:b w:val="0"/>
                <w:sz w:val="16"/>
              </w:rPr>
              <w:t>Buona diversificazione, ma qualità e ticker metadata variano per fonte.</w:t>
            </w:r>
          </w:p>
        </w:tc>
      </w:tr>
      <w:tr>
        <w:tc>
          <w:tcPr>
            <w:tcW w:type="dxa" w:w="2015"/>
          </w:tcPr>
          <w:p>
            <w:pPr>
              <w:spacing w:after="0"/>
            </w:pPr>
            <w:r/>
            <w:r>
              <w:rPr>
                <w:b w:val="0"/>
                <w:sz w:val="16"/>
              </w:rPr>
              <w:t>Ensemble</w:t>
            </w:r>
          </w:p>
        </w:tc>
        <w:tc>
          <w:tcPr>
            <w:tcW w:type="dxa" w:w="3168"/>
          </w:tcPr>
          <w:p>
            <w:pPr>
              <w:spacing w:after="0"/>
            </w:pPr>
            <w:r/>
            <w:r>
              <w:rPr>
                <w:b w:val="0"/>
                <w:sz w:val="16"/>
              </w:rPr>
              <w:t>kimi-k2.6, qwen3.5, deepseek, glm-5.1/5.2</w:t>
            </w:r>
          </w:p>
        </w:tc>
        <w:tc>
          <w:tcPr>
            <w:tcW w:type="dxa" w:w="5040"/>
          </w:tcPr>
          <w:p>
            <w:pPr>
              <w:spacing w:after="0"/>
            </w:pPr>
            <w:r/>
            <w:r>
              <w:rPr>
                <w:b w:val="0"/>
                <w:sz w:val="16"/>
              </w:rPr>
              <w:t>Utile per ridurre idiosincrasie di un singolo modello.</w:t>
            </w:r>
          </w:p>
        </w:tc>
      </w:tr>
      <w:tr>
        <w:tc>
          <w:tcPr>
            <w:tcW w:type="dxa" w:w="2015"/>
          </w:tcPr>
          <w:p>
            <w:pPr>
              <w:spacing w:after="0"/>
            </w:pPr>
            <w:r/>
            <w:r>
              <w:rPr>
                <w:b w:val="0"/>
                <w:sz w:val="16"/>
              </w:rPr>
              <w:t>Aggregazione</w:t>
            </w:r>
          </w:p>
        </w:tc>
        <w:tc>
          <w:tcPr>
            <w:tcW w:type="dxa" w:w="3168"/>
          </w:tcPr>
          <w:p>
            <w:pPr>
              <w:spacing w:after="0"/>
            </w:pPr>
            <w:r/>
            <w:r>
              <w:rPr>
                <w:b w:val="0"/>
                <w:sz w:val="16"/>
              </w:rPr>
              <w:t>std(score_i) &gt; 0.30 → FinBERT fallback</w:t>
            </w:r>
          </w:p>
        </w:tc>
        <w:tc>
          <w:tcPr>
            <w:tcW w:type="dxa" w:w="5040"/>
          </w:tcPr>
          <w:p>
            <w:pPr>
              <w:spacing w:after="0"/>
            </w:pPr>
            <w:r/>
            <w:r>
              <w:rPr>
                <w:b w:val="0"/>
                <w:sz w:val="16"/>
              </w:rPr>
              <w:t>Da rendere field-specific: ticker, polarity, materiality e event_type non divergono allo stesso modo.</w:t>
            </w:r>
          </w:p>
        </w:tc>
      </w:tr>
      <w:tr>
        <w:tc>
          <w:tcPr>
            <w:tcW w:type="dxa" w:w="2015"/>
          </w:tcPr>
          <w:p>
            <w:pPr>
              <w:spacing w:after="0"/>
            </w:pPr>
            <w:r/>
            <w:r>
              <w:rPr>
                <w:b w:val="0"/>
                <w:sz w:val="16"/>
              </w:rPr>
              <w:t>Entry threshold</w:t>
            </w:r>
          </w:p>
        </w:tc>
        <w:tc>
          <w:tcPr>
            <w:tcW w:type="dxa" w:w="3168"/>
          </w:tcPr>
          <w:p>
            <w:pPr>
              <w:spacing w:after="0"/>
            </w:pPr>
            <w:r/>
            <w:r>
              <w:rPr>
                <w:b w:val="0"/>
                <w:sz w:val="16"/>
              </w:rPr>
              <w:t>score &gt;= 0.30</w:t>
            </w:r>
          </w:p>
        </w:tc>
        <w:tc>
          <w:tcPr>
            <w:tcW w:type="dxa" w:w="5040"/>
          </w:tcPr>
          <w:p>
            <w:pPr>
              <w:spacing w:after="0"/>
            </w:pPr>
            <w:r/>
            <w:r>
              <w:rPr>
                <w:b w:val="0"/>
                <w:sz w:val="16"/>
              </w:rPr>
              <w:t>Va mantenuto, ma su score normalizzato per materialità/directness/source quality.</w:t>
            </w:r>
          </w:p>
        </w:tc>
      </w:tr>
      <w:tr>
        <w:tc>
          <w:tcPr>
            <w:tcW w:type="dxa" w:w="2015"/>
          </w:tcPr>
          <w:p>
            <w:pPr>
              <w:spacing w:after="0"/>
            </w:pPr>
            <w:r/>
            <w:r>
              <w:rPr>
                <w:b w:val="0"/>
                <w:sz w:val="16"/>
              </w:rPr>
              <w:t>Reversal exit</w:t>
            </w:r>
          </w:p>
        </w:tc>
        <w:tc>
          <w:tcPr>
            <w:tcW w:type="dxa" w:w="3168"/>
          </w:tcPr>
          <w:p>
            <w:pPr>
              <w:spacing w:after="0"/>
            </w:pPr>
            <w:r/>
            <w:r>
              <w:rPr>
                <w:b w:val="0"/>
                <w:sz w:val="16"/>
              </w:rPr>
              <w:t>score &lt; -0.35</w:t>
            </w:r>
          </w:p>
        </w:tc>
        <w:tc>
          <w:tcPr>
            <w:tcW w:type="dxa" w:w="5040"/>
          </w:tcPr>
          <w:p>
            <w:pPr>
              <w:spacing w:after="0"/>
            </w:pPr>
            <w:r/>
            <w:r>
              <w:rPr>
                <w:b w:val="0"/>
                <w:sz w:val="16"/>
              </w:rPr>
              <w:t>Prudente per strategia long-only.</w:t>
            </w:r>
          </w:p>
        </w:tc>
      </w:tr>
      <w:tr>
        <w:tc>
          <w:tcPr>
            <w:tcW w:type="dxa" w:w="2015"/>
          </w:tcPr>
          <w:p>
            <w:pPr>
              <w:spacing w:after="0"/>
            </w:pPr>
            <w:r/>
            <w:r>
              <w:rPr>
                <w:b w:val="0"/>
                <w:sz w:val="16"/>
              </w:rPr>
              <w:t>Staleness</w:t>
            </w:r>
          </w:p>
        </w:tc>
        <w:tc>
          <w:tcPr>
            <w:tcW w:type="dxa" w:w="3168"/>
          </w:tcPr>
          <w:p>
            <w:pPr>
              <w:spacing w:after="0"/>
            </w:pPr>
            <w:r/>
            <w:r>
              <w:rPr>
                <w:b w:val="0"/>
                <w:sz w:val="16"/>
              </w:rPr>
              <w:t>max 30 min</w:t>
            </w:r>
          </w:p>
        </w:tc>
        <w:tc>
          <w:tcPr>
            <w:tcW w:type="dxa" w:w="5040"/>
          </w:tcPr>
          <w:p>
            <w:pPr>
              <w:spacing w:after="0"/>
            </w:pPr>
            <w:r/>
            <w:r>
              <w:rPr>
                <w:b w:val="0"/>
                <w:sz w:val="16"/>
              </w:rPr>
              <w:t>Corretto per news tattiche; mantenere come hard gate.</w:t>
            </w:r>
          </w:p>
        </w:tc>
      </w:tr>
    </w:tbl>
    <w:p>
      <w:pPr>
        <w:spacing w:after="0"/>
      </w:pPr>
    </w:p>
    <w:p>
      <w:pPr>
        <w:pStyle w:val="Heading1"/>
      </w:pPr>
      <w:r>
        <w:t>3. Problema principale: ticker e sentiment non sono lo stesso task</w:t>
      </w:r>
    </w:p>
    <w:p>
      <w:r>
        <w:t>Il ticker sbagliato è un errore qualitativamente più grave di un sentiment impreciso. Un sentiment poco utile genera rumore; un ticker sbagliato può generare un ordine su un titolo non correlato. Per S4 l'obiettivo primario della ticker resolution non deve essere massimizzare la recall, ma minimizzare quasi a zero il false positive ticker rate.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024"/>
            <w:shd w:fill="1F4E79"/>
          </w:tcPr>
          <w:p>
            <w:pPr>
              <w:spacing w:after="0"/>
            </w:pPr>
            <w:r>
              <w:rPr>
                <w:color w:val="FFFFFF"/>
              </w:rPr>
            </w:r>
            <w:r>
              <w:rPr>
                <w:b/>
                <w:color w:val="FFFFFF"/>
                <w:sz w:val="16"/>
              </w:rPr>
              <w:t>Esempio</w:t>
            </w:r>
          </w:p>
        </w:tc>
        <w:tc>
          <w:tcPr>
            <w:tcW w:type="dxa" w:w="3600"/>
            <w:shd w:fill="1F4E79"/>
          </w:tcPr>
          <w:p>
            <w:pPr>
              <w:spacing w:after="0"/>
            </w:pPr>
            <w:r>
              <w:rPr>
                <w:color w:val="FFFFFF"/>
              </w:rPr>
            </w:r>
            <w:r>
              <w:rPr>
                <w:b/>
                <w:color w:val="FFFFFF"/>
                <w:sz w:val="16"/>
              </w:rPr>
              <w:t>Errore potenziale</w:t>
            </w:r>
          </w:p>
        </w:tc>
        <w:tc>
          <w:tcPr>
            <w:tcW w:type="dxa" w:w="4031"/>
            <w:shd w:fill="1F4E79"/>
          </w:tcPr>
          <w:p>
            <w:pPr>
              <w:spacing w:after="0"/>
            </w:pPr>
            <w:r>
              <w:rPr>
                <w:color w:val="FFFFFF"/>
              </w:rPr>
            </w:r>
            <w:r>
              <w:rPr>
                <w:b/>
                <w:color w:val="FFFFFF"/>
                <w:sz w:val="16"/>
              </w:rPr>
              <w:t>Comportamento consigliato</w:t>
            </w:r>
          </w:p>
        </w:tc>
      </w:tr>
      <w:tr>
        <w:tc>
          <w:tcPr>
            <w:tcW w:type="dxa" w:w="3024"/>
          </w:tcPr>
          <w:p>
            <w:pPr>
              <w:spacing w:after="0"/>
            </w:pPr>
            <w:r/>
            <w:r>
              <w:rPr>
                <w:b w:val="0"/>
                <w:sz w:val="16"/>
              </w:rPr>
              <w:t>Apple Hospitality beats estimates</w:t>
            </w:r>
          </w:p>
        </w:tc>
        <w:tc>
          <w:tcPr>
            <w:tcW w:type="dxa" w:w="3600"/>
          </w:tcPr>
          <w:p>
            <w:pPr>
              <w:spacing w:after="0"/>
            </w:pPr>
            <w:r/>
            <w:r>
              <w:rPr>
                <w:b w:val="0"/>
                <w:sz w:val="16"/>
              </w:rPr>
              <w:t>APLE può essere confuso con AAPL.</w:t>
            </w:r>
          </w:p>
        </w:tc>
        <w:tc>
          <w:tcPr>
            <w:tcW w:type="dxa" w:w="4031"/>
          </w:tcPr>
          <w:p>
            <w:pPr>
              <w:spacing w:after="0"/>
            </w:pPr>
            <w:r/>
            <w:r>
              <w:rPr>
                <w:b w:val="0"/>
                <w:sz w:val="16"/>
              </w:rPr>
              <w:t>NO_TRADE se il resolver non distingue con alta confidenza.</w:t>
            </w:r>
          </w:p>
        </w:tc>
      </w:tr>
      <w:tr>
        <w:tc>
          <w:tcPr>
            <w:tcW w:type="dxa" w:w="3024"/>
          </w:tcPr>
          <w:p>
            <w:pPr>
              <w:spacing w:after="0"/>
            </w:pPr>
            <w:r/>
            <w:r>
              <w:rPr>
                <w:b w:val="0"/>
                <w:sz w:val="16"/>
              </w:rPr>
              <w:t>OpenAI signs new Microsoft deal</w:t>
            </w:r>
          </w:p>
        </w:tc>
        <w:tc>
          <w:tcPr>
            <w:tcW w:type="dxa" w:w="3600"/>
          </w:tcPr>
          <w:p>
            <w:pPr>
              <w:spacing w:after="0"/>
            </w:pPr>
            <w:r/>
            <w:r>
              <w:rPr>
                <w:b w:val="0"/>
                <w:sz w:val="16"/>
              </w:rPr>
              <w:t>OpenAI non è quotata; MSFT è impatto indiretto.</w:t>
            </w:r>
          </w:p>
        </w:tc>
        <w:tc>
          <w:tcPr>
            <w:tcW w:type="dxa" w:w="4031"/>
          </w:tcPr>
          <w:p>
            <w:pPr>
              <w:spacing w:after="0"/>
            </w:pPr>
            <w:r/>
            <w:r>
              <w:rPr>
                <w:b w:val="0"/>
                <w:sz w:val="16"/>
              </w:rPr>
              <w:t>Segnare MSFT come indirect/read-through, size ridotta o skip.</w:t>
            </w:r>
          </w:p>
        </w:tc>
      </w:tr>
      <w:tr>
        <w:tc>
          <w:tcPr>
            <w:tcW w:type="dxa" w:w="3024"/>
          </w:tcPr>
          <w:p>
            <w:pPr>
              <w:spacing w:after="0"/>
            </w:pPr>
            <w:r/>
            <w:r>
              <w:rPr>
                <w:b w:val="0"/>
                <w:sz w:val="16"/>
              </w:rPr>
              <w:t>AI stocks rally</w:t>
            </w:r>
          </w:p>
        </w:tc>
        <w:tc>
          <w:tcPr>
            <w:tcW w:type="dxa" w:w="3600"/>
          </w:tcPr>
          <w:p>
            <w:pPr>
              <w:spacing w:after="0"/>
            </w:pPr>
            <w:r/>
            <w:r>
              <w:rPr>
                <w:b w:val="0"/>
                <w:sz w:val="16"/>
              </w:rPr>
              <w:t>AI può essere tema oppure ticker C3.ai.</w:t>
            </w:r>
          </w:p>
        </w:tc>
        <w:tc>
          <w:tcPr>
            <w:tcW w:type="dxa" w:w="4031"/>
          </w:tcPr>
          <w:p>
            <w:pPr>
              <w:spacing w:after="0"/>
            </w:pPr>
            <w:r/>
            <w:r>
              <w:rPr>
                <w:b w:val="0"/>
                <w:sz w:val="16"/>
              </w:rPr>
              <w:t>Richiedere evidence diretta; se generico, sector/macro e NO_TRADE.</w:t>
            </w:r>
          </w:p>
        </w:tc>
      </w:tr>
      <w:tr>
        <w:tc>
          <w:tcPr>
            <w:tcW w:type="dxa" w:w="3024"/>
          </w:tcPr>
          <w:p>
            <w:pPr>
              <w:spacing w:after="0"/>
            </w:pPr>
            <w:r/>
            <w:r>
              <w:rPr>
                <w:b w:val="0"/>
                <w:sz w:val="16"/>
              </w:rPr>
              <w:t>Supplier wins contract with Tesla</w:t>
            </w:r>
          </w:p>
        </w:tc>
        <w:tc>
          <w:tcPr>
            <w:tcW w:type="dxa" w:w="3600"/>
          </w:tcPr>
          <w:p>
            <w:pPr>
              <w:spacing w:after="0"/>
            </w:pPr>
            <w:r/>
            <w:r>
              <w:rPr>
                <w:b w:val="0"/>
                <w:sz w:val="16"/>
              </w:rPr>
              <w:t>La news è sul fornitore, non necessariamente su TSLA.</w:t>
            </w:r>
          </w:p>
        </w:tc>
        <w:tc>
          <w:tcPr>
            <w:tcW w:type="dxa" w:w="4031"/>
          </w:tcPr>
          <w:p>
            <w:pPr>
              <w:spacing w:after="0"/>
            </w:pPr>
            <w:r/>
            <w:r>
              <w:rPr>
                <w:b w:val="0"/>
                <w:sz w:val="16"/>
              </w:rPr>
              <w:t>Creare sentiment per emittente; TSLA eventualmente indirect.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CE4D6"/>
            <w:vAlign w:val="center"/>
          </w:tcPr>
          <w:p>
            <w:pPr>
              <w:spacing w:after="80"/>
            </w:pPr>
            <w:r>
              <w:rPr>
                <w:b/>
                <w:sz w:val="20"/>
              </w:rPr>
              <w:t>Principio di sicurezza</w:t>
            </w:r>
          </w:p>
          <w:p>
            <w:pPr>
              <w:spacing w:after="0"/>
            </w:pPr>
            <w:r>
              <w:rPr>
                <w:sz w:val="18"/>
              </w:rPr>
              <w:t>Meglio perdere una news buona che comprare il ticker sbagliato. La pipeline deve poter produrre NO_TRADE come esito normale, non come errore.</w:t>
            </w:r>
          </w:p>
        </w:tc>
      </w:tr>
    </w:tbl>
    <w:p>
      <w:r>
        <w:br w:type="page"/>
      </w:r>
    </w:p>
    <w:p>
      <w:pPr>
        <w:pStyle w:val="Heading1"/>
      </w:pPr>
      <w:r>
        <w:t>4. Architettura proposta per ticker resolution</w:t>
      </w:r>
    </w:p>
    <w:p>
      <w:r>
        <w:t>La ticker resolution deve diventare un modulo separato e obbligatorio tra ingestion e sentiment. Gli LLM propongono entità e relazioni; il resolver decide il simbolo canonico solo se ha sufficiente evidenza e se il titolo è tradabile nel tuo universo operativo.</w:t>
      </w:r>
    </w:p>
    <w:p>
      <w:pPr>
        <w:spacing w:after="40"/>
      </w:pPr>
      <w:r>
        <w:rPr>
          <w:b/>
          <w:color w:val="505050"/>
          <w:sz w:val="18"/>
        </w:rPr>
        <w:t>Pipeline proposta</w:t>
      </w:r>
    </w:p>
    <w:p>
      <w:pPr>
        <w:pStyle w:val="CodeBlock"/>
      </w:pPr>
      <w:r>
        <w:rPr>
          <w:rFonts w:ascii="Courier New" w:hAnsi="Courier New" w:eastAsia="Courier New"/>
          <w:sz w:val="16"/>
        </w:rPr>
        <w:t>Raw news</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Source ticker candidates, se presenti</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Cashtag / ticker regex, es. $AAPL</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Company/entity extraction con Kimi + GLM</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Alias table interna</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SEC / OpenFIGI / market data resolver</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Broker tradability check + universe check</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resolved_symbol oppure NO_TRADE</w:t>
      </w:r>
    </w:p>
    <w:p>
      <w:pPr>
        <w:pStyle w:val="Heading2"/>
      </w:pPr>
      <w:r>
        <w:t>4.1 Candidate generation</w:t>
      </w:r>
    </w:p>
    <w:p>
      <w:r>
        <w:t>Genera candidati da più fonti indipendenti e conserva la provenienza di ogni candidato. Non tutti i candidati hanno lo stesso peso.</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024"/>
            <w:shd w:fill="1F4E79"/>
          </w:tcPr>
          <w:p>
            <w:pPr>
              <w:spacing w:after="0"/>
            </w:pPr>
            <w:r>
              <w:rPr>
                <w:color w:val="FFFFFF"/>
              </w:rPr>
            </w:r>
            <w:r>
              <w:rPr>
                <w:b/>
                <w:color w:val="FFFFFF"/>
                <w:sz w:val="16"/>
              </w:rPr>
              <w:t>Fonte candidato</w:t>
            </w:r>
          </w:p>
        </w:tc>
        <w:tc>
          <w:tcPr>
            <w:tcW w:type="dxa" w:w="1728"/>
            <w:shd w:fill="1F4E79"/>
          </w:tcPr>
          <w:p>
            <w:pPr>
              <w:spacing w:after="0"/>
            </w:pPr>
            <w:r>
              <w:rPr>
                <w:color w:val="FFFFFF"/>
              </w:rPr>
            </w:r>
            <w:r>
              <w:rPr>
                <w:b/>
                <w:color w:val="FFFFFF"/>
                <w:sz w:val="16"/>
              </w:rPr>
              <w:t>Peso logico</w:t>
            </w:r>
          </w:p>
        </w:tc>
        <w:tc>
          <w:tcPr>
            <w:tcW w:type="dxa" w:w="6048"/>
            <w:shd w:fill="1F4E79"/>
          </w:tcPr>
          <w:p>
            <w:pPr>
              <w:spacing w:after="0"/>
            </w:pPr>
            <w:r>
              <w:rPr>
                <w:color w:val="FFFFFF"/>
              </w:rPr>
            </w:r>
            <w:r>
              <w:rPr>
                <w:b/>
                <w:color w:val="FFFFFF"/>
                <w:sz w:val="16"/>
              </w:rPr>
              <w:t>Uso consigliato</w:t>
            </w:r>
          </w:p>
        </w:tc>
      </w:tr>
      <w:tr>
        <w:tc>
          <w:tcPr>
            <w:tcW w:type="dxa" w:w="3024"/>
          </w:tcPr>
          <w:p>
            <w:pPr>
              <w:spacing w:after="0"/>
            </w:pPr>
            <w:r/>
            <w:r>
              <w:rPr>
                <w:b w:val="0"/>
                <w:sz w:val="16"/>
              </w:rPr>
              <w:t>Ticker esplicito con cashtag ($AAPL)</w:t>
            </w:r>
          </w:p>
        </w:tc>
        <w:tc>
          <w:tcPr>
            <w:tcW w:type="dxa" w:w="1728"/>
          </w:tcPr>
          <w:p>
            <w:pPr>
              <w:spacing w:after="0"/>
            </w:pPr>
            <w:r/>
            <w:r>
              <w:rPr>
                <w:b w:val="0"/>
                <w:sz w:val="16"/>
              </w:rPr>
              <w:t>Alto</w:t>
            </w:r>
          </w:p>
        </w:tc>
        <w:tc>
          <w:tcPr>
            <w:tcW w:type="dxa" w:w="6048"/>
          </w:tcPr>
          <w:p>
            <w:pPr>
              <w:spacing w:after="0"/>
            </w:pPr>
            <w:r/>
            <w:r>
              <w:rPr>
                <w:b w:val="0"/>
                <w:sz w:val="16"/>
              </w:rPr>
              <w:t>Forte segnale, ma va comunque validato su exchange/tradability.</w:t>
            </w:r>
          </w:p>
        </w:tc>
      </w:tr>
      <w:tr>
        <w:tc>
          <w:tcPr>
            <w:tcW w:type="dxa" w:w="3024"/>
          </w:tcPr>
          <w:p>
            <w:pPr>
              <w:spacing w:after="0"/>
            </w:pPr>
            <w:r/>
            <w:r>
              <w:rPr>
                <w:b w:val="0"/>
                <w:sz w:val="16"/>
              </w:rPr>
              <w:t>Ticker metadata della fonte</w:t>
            </w:r>
          </w:p>
        </w:tc>
        <w:tc>
          <w:tcPr>
            <w:tcW w:type="dxa" w:w="1728"/>
          </w:tcPr>
          <w:p>
            <w:pPr>
              <w:spacing w:after="0"/>
            </w:pPr>
            <w:r/>
            <w:r>
              <w:rPr>
                <w:b w:val="0"/>
                <w:sz w:val="16"/>
              </w:rPr>
              <w:t>Medio-alto</w:t>
            </w:r>
          </w:p>
        </w:tc>
        <w:tc>
          <w:tcPr>
            <w:tcW w:type="dxa" w:w="6048"/>
          </w:tcPr>
          <w:p>
            <w:pPr>
              <w:spacing w:after="0"/>
            </w:pPr>
            <w:r/>
            <w:r>
              <w:rPr>
                <w:b w:val="0"/>
                <w:sz w:val="16"/>
              </w:rPr>
              <w:t>Buono per MarketAux/Alpaca, meno robusto per RSS generici.</w:t>
            </w:r>
          </w:p>
        </w:tc>
      </w:tr>
      <w:tr>
        <w:tc>
          <w:tcPr>
            <w:tcW w:type="dxa" w:w="3024"/>
          </w:tcPr>
          <w:p>
            <w:pPr>
              <w:spacing w:after="0"/>
            </w:pPr>
            <w:r/>
            <w:r>
              <w:rPr>
                <w:b w:val="0"/>
                <w:sz w:val="16"/>
              </w:rPr>
              <w:t>Company name estratto da LLM</w:t>
            </w:r>
          </w:p>
        </w:tc>
        <w:tc>
          <w:tcPr>
            <w:tcW w:type="dxa" w:w="1728"/>
          </w:tcPr>
          <w:p>
            <w:pPr>
              <w:spacing w:after="0"/>
            </w:pPr>
            <w:r/>
            <w:r>
              <w:rPr>
                <w:b w:val="0"/>
                <w:sz w:val="16"/>
              </w:rPr>
              <w:t>Medio</w:t>
            </w:r>
          </w:p>
        </w:tc>
        <w:tc>
          <w:tcPr>
            <w:tcW w:type="dxa" w:w="6048"/>
          </w:tcPr>
          <w:p>
            <w:pPr>
              <w:spacing w:after="0"/>
            </w:pPr>
            <w:r/>
            <w:r>
              <w:rPr>
                <w:b w:val="0"/>
                <w:sz w:val="16"/>
              </w:rPr>
              <w:t>Serve per alias e disambiguazione, non per decisione finale.</w:t>
            </w:r>
          </w:p>
        </w:tc>
      </w:tr>
      <w:tr>
        <w:tc>
          <w:tcPr>
            <w:tcW w:type="dxa" w:w="3024"/>
          </w:tcPr>
          <w:p>
            <w:pPr>
              <w:spacing w:after="0"/>
            </w:pPr>
            <w:r/>
            <w:r>
              <w:rPr>
                <w:b w:val="0"/>
                <w:sz w:val="16"/>
              </w:rPr>
              <w:t>Alias table interna</w:t>
            </w:r>
          </w:p>
        </w:tc>
        <w:tc>
          <w:tcPr>
            <w:tcW w:type="dxa" w:w="1728"/>
          </w:tcPr>
          <w:p>
            <w:pPr>
              <w:spacing w:after="0"/>
            </w:pPr>
            <w:r/>
            <w:r>
              <w:rPr>
                <w:b w:val="0"/>
                <w:sz w:val="16"/>
              </w:rPr>
              <w:t>Alto se curata</w:t>
            </w:r>
          </w:p>
        </w:tc>
        <w:tc>
          <w:tcPr>
            <w:tcW w:type="dxa" w:w="6048"/>
          </w:tcPr>
          <w:p>
            <w:pPr>
              <w:spacing w:after="0"/>
            </w:pPr>
            <w:r/>
            <w:r>
              <w:rPr>
                <w:b w:val="0"/>
                <w:sz w:val="16"/>
              </w:rPr>
              <w:t>Fondamentale per nomi commerciali, ticker storici, ADR, dual listing.</w:t>
            </w:r>
          </w:p>
        </w:tc>
      </w:tr>
      <w:tr>
        <w:tc>
          <w:tcPr>
            <w:tcW w:type="dxa" w:w="3024"/>
          </w:tcPr>
          <w:p>
            <w:pPr>
              <w:spacing w:after="0"/>
            </w:pPr>
            <w:r/>
            <w:r>
              <w:rPr>
                <w:b w:val="0"/>
                <w:sz w:val="16"/>
              </w:rPr>
              <w:t>SEC / OpenFIGI</w:t>
            </w:r>
          </w:p>
        </w:tc>
        <w:tc>
          <w:tcPr>
            <w:tcW w:type="dxa" w:w="1728"/>
          </w:tcPr>
          <w:p>
            <w:pPr>
              <w:spacing w:after="0"/>
            </w:pPr>
            <w:r/>
            <w:r>
              <w:rPr>
                <w:b w:val="0"/>
                <w:sz w:val="16"/>
              </w:rPr>
              <w:t>Alto</w:t>
            </w:r>
          </w:p>
        </w:tc>
        <w:tc>
          <w:tcPr>
            <w:tcW w:type="dxa" w:w="6048"/>
          </w:tcPr>
          <w:p>
            <w:pPr>
              <w:spacing w:after="0"/>
            </w:pPr>
            <w:r/>
            <w:r>
              <w:rPr>
                <w:b w:val="0"/>
                <w:sz w:val="16"/>
              </w:rPr>
              <w:t>Fonte di conferma per CIK, ticker, exchange e identificativi.</w:t>
            </w:r>
          </w:p>
        </w:tc>
      </w:tr>
    </w:tbl>
    <w:p>
      <w:pPr>
        <w:spacing w:after="0"/>
      </w:pPr>
    </w:p>
    <w:p>
      <w:pPr>
        <w:pStyle w:val="Heading2"/>
      </w:pPr>
      <w:r>
        <w:t>4.2 Entity directness</w:t>
      </w:r>
    </w:p>
    <w:p>
      <w:r>
        <w:t>Ogni entità risolta deve avere un attributo directness. Questo campo è decisivo per evitare di trattare impatti indiretti come segnali primari.</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shd w:fill="1F4E79"/>
          </w:tcPr>
          <w:p>
            <w:pPr>
              <w:spacing w:after="0"/>
            </w:pPr>
            <w:r>
              <w:rPr>
                <w:color w:val="FFFFFF"/>
              </w:rPr>
            </w:r>
            <w:r>
              <w:rPr>
                <w:b/>
                <w:color w:val="FFFFFF"/>
                <w:sz w:val="16"/>
              </w:rPr>
              <w:t>directness</w:t>
            </w:r>
          </w:p>
        </w:tc>
        <w:tc>
          <w:tcPr>
            <w:tcW w:type="dxa" w:w="5760"/>
            <w:shd w:fill="1F4E79"/>
          </w:tcPr>
          <w:p>
            <w:pPr>
              <w:spacing w:after="0"/>
            </w:pPr>
            <w:r>
              <w:rPr>
                <w:color w:val="FFFFFF"/>
              </w:rPr>
            </w:r>
            <w:r>
              <w:rPr>
                <w:b/>
                <w:color w:val="FFFFFF"/>
                <w:sz w:val="16"/>
              </w:rPr>
              <w:t>Descrizione</w:t>
            </w:r>
          </w:p>
        </w:tc>
        <w:tc>
          <w:tcPr>
            <w:tcW w:type="dxa" w:w="2160"/>
            <w:shd w:fill="1F4E79"/>
          </w:tcPr>
          <w:p>
            <w:pPr>
              <w:spacing w:after="0"/>
            </w:pPr>
            <w:r>
              <w:rPr>
                <w:color w:val="FFFFFF"/>
              </w:rPr>
            </w:r>
            <w:r>
              <w:rPr>
                <w:b/>
                <w:color w:val="FFFFFF"/>
                <w:sz w:val="16"/>
              </w:rPr>
              <w:t>Multiplier iniziale</w:t>
            </w:r>
          </w:p>
        </w:tc>
      </w:tr>
      <w:tr>
        <w:tc>
          <w:tcPr>
            <w:tcW w:type="dxa" w:w="2448"/>
          </w:tcPr>
          <w:p>
            <w:pPr>
              <w:spacing w:after="0"/>
            </w:pPr>
            <w:r/>
            <w:r>
              <w:rPr>
                <w:b w:val="0"/>
                <w:sz w:val="16"/>
              </w:rPr>
              <w:t>direct</w:t>
            </w:r>
          </w:p>
        </w:tc>
        <w:tc>
          <w:tcPr>
            <w:tcW w:type="dxa" w:w="5760"/>
          </w:tcPr>
          <w:p>
            <w:pPr>
              <w:spacing w:after="0"/>
            </w:pPr>
            <w:r/>
            <w:r>
              <w:rPr>
                <w:b w:val="0"/>
                <w:sz w:val="16"/>
              </w:rPr>
              <w:t>La news riguarda direttamente l'emittente quotato.</w:t>
            </w:r>
          </w:p>
        </w:tc>
        <w:tc>
          <w:tcPr>
            <w:tcW w:type="dxa" w:w="2160"/>
          </w:tcPr>
          <w:p>
            <w:pPr>
              <w:spacing w:after="0"/>
            </w:pPr>
            <w:r/>
            <w:r>
              <w:rPr>
                <w:b w:val="0"/>
                <w:sz w:val="16"/>
              </w:rPr>
              <w:t>1.00</w:t>
            </w:r>
          </w:p>
        </w:tc>
      </w:tr>
      <w:tr>
        <w:tc>
          <w:tcPr>
            <w:tcW w:type="dxa" w:w="2448"/>
          </w:tcPr>
          <w:p>
            <w:pPr>
              <w:spacing w:after="0"/>
            </w:pPr>
            <w:r/>
            <w:r>
              <w:rPr>
                <w:b w:val="0"/>
                <w:sz w:val="16"/>
              </w:rPr>
              <w:t>customer_supplier</w:t>
            </w:r>
          </w:p>
        </w:tc>
        <w:tc>
          <w:tcPr>
            <w:tcW w:type="dxa" w:w="5760"/>
          </w:tcPr>
          <w:p>
            <w:pPr>
              <w:spacing w:after="0"/>
            </w:pPr>
            <w:r/>
            <w:r>
              <w:rPr>
                <w:b w:val="0"/>
                <w:sz w:val="16"/>
              </w:rPr>
              <w:t>Impatto tramite cliente, fornitore o partner.</w:t>
            </w:r>
          </w:p>
        </w:tc>
        <w:tc>
          <w:tcPr>
            <w:tcW w:type="dxa" w:w="2160"/>
          </w:tcPr>
          <w:p>
            <w:pPr>
              <w:spacing w:after="0"/>
            </w:pPr>
            <w:r/>
            <w:r>
              <w:rPr>
                <w:b w:val="0"/>
                <w:sz w:val="16"/>
              </w:rPr>
              <w:t>0.40</w:t>
            </w:r>
          </w:p>
        </w:tc>
      </w:tr>
      <w:tr>
        <w:tc>
          <w:tcPr>
            <w:tcW w:type="dxa" w:w="2448"/>
          </w:tcPr>
          <w:p>
            <w:pPr>
              <w:spacing w:after="0"/>
            </w:pPr>
            <w:r/>
            <w:r>
              <w:rPr>
                <w:b w:val="0"/>
                <w:sz w:val="16"/>
              </w:rPr>
              <w:t>competitor_readthrough</w:t>
            </w:r>
          </w:p>
        </w:tc>
        <w:tc>
          <w:tcPr>
            <w:tcW w:type="dxa" w:w="5760"/>
          </w:tcPr>
          <w:p>
            <w:pPr>
              <w:spacing w:after="0"/>
            </w:pPr>
            <w:r/>
            <w:r>
              <w:rPr>
                <w:b w:val="0"/>
                <w:sz w:val="16"/>
              </w:rPr>
              <w:t>Impatto per competitor o peer di settore.</w:t>
            </w:r>
          </w:p>
        </w:tc>
        <w:tc>
          <w:tcPr>
            <w:tcW w:type="dxa" w:w="2160"/>
          </w:tcPr>
          <w:p>
            <w:pPr>
              <w:spacing w:after="0"/>
            </w:pPr>
            <w:r/>
            <w:r>
              <w:rPr>
                <w:b w:val="0"/>
                <w:sz w:val="16"/>
              </w:rPr>
              <w:t>0.35</w:t>
            </w:r>
          </w:p>
        </w:tc>
      </w:tr>
      <w:tr>
        <w:tc>
          <w:tcPr>
            <w:tcW w:type="dxa" w:w="2448"/>
          </w:tcPr>
          <w:p>
            <w:pPr>
              <w:spacing w:after="0"/>
            </w:pPr>
            <w:r/>
            <w:r>
              <w:rPr>
                <w:b w:val="0"/>
                <w:sz w:val="16"/>
              </w:rPr>
              <w:t>sector</w:t>
            </w:r>
          </w:p>
        </w:tc>
        <w:tc>
          <w:tcPr>
            <w:tcW w:type="dxa" w:w="5760"/>
          </w:tcPr>
          <w:p>
            <w:pPr>
              <w:spacing w:after="0"/>
            </w:pPr>
            <w:r/>
            <w:r>
              <w:rPr>
                <w:b w:val="0"/>
                <w:sz w:val="16"/>
              </w:rPr>
              <w:t>News su settore senza issuer centrale.</w:t>
            </w:r>
          </w:p>
        </w:tc>
        <w:tc>
          <w:tcPr>
            <w:tcW w:type="dxa" w:w="2160"/>
          </w:tcPr>
          <w:p>
            <w:pPr>
              <w:spacing w:after="0"/>
            </w:pPr>
            <w:r/>
            <w:r>
              <w:rPr>
                <w:b w:val="0"/>
                <w:sz w:val="16"/>
              </w:rPr>
              <w:t>0.20</w:t>
            </w:r>
          </w:p>
        </w:tc>
      </w:tr>
      <w:tr>
        <w:tc>
          <w:tcPr>
            <w:tcW w:type="dxa" w:w="2448"/>
          </w:tcPr>
          <w:p>
            <w:pPr>
              <w:spacing w:after="0"/>
            </w:pPr>
            <w:r/>
            <w:r>
              <w:rPr>
                <w:b w:val="0"/>
                <w:sz w:val="16"/>
              </w:rPr>
              <w:t>macro</w:t>
            </w:r>
          </w:p>
        </w:tc>
        <w:tc>
          <w:tcPr>
            <w:tcW w:type="dxa" w:w="5760"/>
          </w:tcPr>
          <w:p>
            <w:pPr>
              <w:spacing w:after="0"/>
            </w:pPr>
            <w:r/>
            <w:r>
              <w:rPr>
                <w:b w:val="0"/>
                <w:sz w:val="16"/>
              </w:rPr>
              <w:t>News macro con effetto diffuso.</w:t>
            </w:r>
          </w:p>
        </w:tc>
        <w:tc>
          <w:tcPr>
            <w:tcW w:type="dxa" w:w="2160"/>
          </w:tcPr>
          <w:p>
            <w:pPr>
              <w:spacing w:after="0"/>
            </w:pPr>
            <w:r/>
            <w:r>
              <w:rPr>
                <w:b w:val="0"/>
                <w:sz w:val="16"/>
              </w:rPr>
              <w:t>0.15-0.20</w:t>
            </w:r>
          </w:p>
        </w:tc>
      </w:tr>
      <w:tr>
        <w:tc>
          <w:tcPr>
            <w:tcW w:type="dxa" w:w="2448"/>
          </w:tcPr>
          <w:p>
            <w:pPr>
              <w:spacing w:after="0"/>
            </w:pPr>
            <w:r/>
            <w:r>
              <w:rPr>
                <w:b w:val="0"/>
                <w:sz w:val="16"/>
              </w:rPr>
              <w:t>unclear</w:t>
            </w:r>
          </w:p>
        </w:tc>
        <w:tc>
          <w:tcPr>
            <w:tcW w:type="dxa" w:w="5760"/>
          </w:tcPr>
          <w:p>
            <w:pPr>
              <w:spacing w:after="0"/>
            </w:pPr>
            <w:r/>
            <w:r>
              <w:rPr>
                <w:b w:val="0"/>
                <w:sz w:val="16"/>
              </w:rPr>
              <w:t>Relazione non abbastanza chiara.</w:t>
            </w:r>
          </w:p>
        </w:tc>
        <w:tc>
          <w:tcPr>
            <w:tcW w:type="dxa" w:w="2160"/>
          </w:tcPr>
          <w:p>
            <w:pPr>
              <w:spacing w:after="0"/>
            </w:pPr>
            <w:r/>
            <w:r>
              <w:rPr>
                <w:b w:val="0"/>
                <w:sz w:val="16"/>
              </w:rPr>
              <w:t>0.00 / NO_TRADE</w:t>
            </w:r>
          </w:p>
        </w:tc>
      </w:tr>
    </w:tbl>
    <w:p>
      <w:pPr>
        <w:spacing w:after="0"/>
      </w:pPr>
    </w:p>
    <w:p>
      <w:pPr>
        <w:pStyle w:val="Heading2"/>
      </w:pPr>
      <w:r>
        <w:t>4.3 Soglie hard per NO_TRADE</w:t>
      </w:r>
    </w:p>
    <w:p>
      <w:pPr>
        <w:spacing w:after="40"/>
      </w:pPr>
      <w:r>
        <w:rPr>
          <w:b/>
          <w:color w:val="505050"/>
          <w:sz w:val="18"/>
        </w:rPr>
        <w:t>Regole consigliate</w:t>
      </w:r>
    </w:p>
    <w:p>
      <w:pPr>
        <w:pStyle w:val="CodeBlock"/>
      </w:pPr>
      <w:r>
        <w:rPr>
          <w:rFonts w:ascii="Courier New" w:hAnsi="Courier New" w:eastAsia="Courier New"/>
          <w:sz w:val="16"/>
        </w:rPr>
        <w:t>if resolution_confidence &lt; 0.80:</w:t>
      </w:r>
    </w:p>
    <w:p>
      <w:pPr>
        <w:pStyle w:val="CodeBlock"/>
      </w:pPr>
      <w:r>
        <w:rPr>
          <w:rFonts w:ascii="Courier New" w:hAnsi="Courier New" w:eastAsia="Courier New"/>
          <w:sz w:val="16"/>
        </w:rPr>
        <w:t xml:space="preserve">    decision = "NO_TRADE_LOW_RESOLUTION_CONFIDENCE"</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if top_candidate_score - second_candidate_score &lt; 0.15:</w:t>
      </w:r>
    </w:p>
    <w:p>
      <w:pPr>
        <w:pStyle w:val="CodeBlock"/>
      </w:pPr>
      <w:r>
        <w:rPr>
          <w:rFonts w:ascii="Courier New" w:hAnsi="Courier New" w:eastAsia="Courier New"/>
          <w:sz w:val="16"/>
        </w:rPr>
        <w:t xml:space="preserve">    decision = "NO_TRADE_AMBIGUOUS_TICKER"</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if tradable is False:</w:t>
      </w:r>
    </w:p>
    <w:p>
      <w:pPr>
        <w:pStyle w:val="CodeBlock"/>
      </w:pPr>
      <w:r>
        <w:rPr>
          <w:rFonts w:ascii="Courier New" w:hAnsi="Courier New" w:eastAsia="Courier New"/>
          <w:sz w:val="16"/>
        </w:rPr>
        <w:t xml:space="preserve">    decision = "NO_TRADE_NOT_TRADABLE"</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if directness == "unclear":</w:t>
      </w:r>
    </w:p>
    <w:p>
      <w:pPr>
        <w:pStyle w:val="CodeBlock"/>
      </w:pPr>
      <w:r>
        <w:rPr>
          <w:rFonts w:ascii="Courier New" w:hAnsi="Courier New" w:eastAsia="Courier New"/>
          <w:sz w:val="16"/>
        </w:rPr>
        <w:t xml:space="preserve">    decision = "NO_TRADE_UNCLEAR_ISSUER_IMPACT"</w:t>
      </w:r>
    </w:p>
    <w:p>
      <w:pPr>
        <w:pStyle w:val="Heading2"/>
      </w:pPr>
      <w:r>
        <w:t>4.4 Scoring di risoluzione</w:t>
      </w:r>
    </w:p>
    <w:p>
      <w:r>
        <w:t>Il resolution_score può essere calcolato come somma pesata delle evidenze. I pesi devono essere calibrati sui tuoi errori storici, ma una versione iniziale può essere:</w:t>
      </w:r>
    </w:p>
    <w:p>
      <w:pPr>
        <w:spacing w:after="40"/>
      </w:pPr>
      <w:r>
        <w:rPr>
          <w:b/>
          <w:color w:val="505050"/>
          <w:sz w:val="18"/>
        </w:rPr>
        <w:t>Formula iniziale</w:t>
      </w:r>
    </w:p>
    <w:p>
      <w:pPr>
        <w:pStyle w:val="CodeBlock"/>
      </w:pPr>
      <w:r>
        <w:rPr>
          <w:rFonts w:ascii="Courier New" w:hAnsi="Courier New" w:eastAsia="Courier New"/>
          <w:sz w:val="16"/>
        </w:rPr>
        <w:t>resolution_score =</w:t>
      </w:r>
    </w:p>
    <w:p>
      <w:pPr>
        <w:pStyle w:val="CodeBlock"/>
      </w:pPr>
      <w:r>
        <w:rPr>
          <w:rFonts w:ascii="Courier New" w:hAnsi="Courier New" w:eastAsia="Courier New"/>
          <w:sz w:val="16"/>
        </w:rPr>
        <w:t xml:space="preserve">    0.30 * source_ticker_match</w:t>
      </w:r>
    </w:p>
    <w:p>
      <w:pPr>
        <w:pStyle w:val="CodeBlock"/>
      </w:pPr>
      <w:r>
        <w:rPr>
          <w:rFonts w:ascii="Courier New" w:hAnsi="Courier New" w:eastAsia="Courier New"/>
          <w:sz w:val="16"/>
        </w:rPr>
        <w:t xml:space="preserve">  + 0.25 * alias_exact_or_high_fuzzy_match</w:t>
      </w:r>
    </w:p>
    <w:p>
      <w:pPr>
        <w:pStyle w:val="CodeBlock"/>
      </w:pPr>
      <w:r>
        <w:rPr>
          <w:rFonts w:ascii="Courier New" w:hAnsi="Courier New" w:eastAsia="Courier New"/>
          <w:sz w:val="16"/>
        </w:rPr>
        <w:t xml:space="preserve">  + 0.20 * sec_or_openfigi_match</w:t>
      </w:r>
    </w:p>
    <w:p>
      <w:pPr>
        <w:pStyle w:val="CodeBlock"/>
      </w:pPr>
      <w:r>
        <w:rPr>
          <w:rFonts w:ascii="Courier New" w:hAnsi="Courier New" w:eastAsia="Courier New"/>
          <w:sz w:val="16"/>
        </w:rPr>
        <w:t xml:space="preserve">  + 0.15 * llm_entity_agreement</w:t>
      </w:r>
    </w:p>
    <w:p>
      <w:pPr>
        <w:pStyle w:val="CodeBlock"/>
      </w:pPr>
      <w:r>
        <w:rPr>
          <w:rFonts w:ascii="Courier New" w:hAnsi="Courier New" w:eastAsia="Courier New"/>
          <w:sz w:val="16"/>
        </w:rPr>
        <w:t xml:space="preserve">  + 0.10 * broker_tradability_match</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ambiguity_margin = top_candidate_score - second_candidate_score</w:t>
      </w:r>
    </w:p>
    <w:p>
      <w:r>
        <w:br w:type="page"/>
      </w:r>
    </w:p>
    <w:p>
      <w:pPr>
        <w:pStyle w:val="Heading1"/>
      </w:pPr>
      <w:r>
        <w:t>5. Sentiment issuer-specific</w:t>
      </w:r>
    </w:p>
    <w:p>
      <w:r>
        <w:t>Il sentiment non deve essere calcolato sulla news come oggetto unico, ma per ciascun emittente risolto. La stessa news può essere positiva per un titolo, negativa per un competitor e neutra per un indice.</w:t>
      </w:r>
    </w:p>
    <w:p>
      <w:pPr>
        <w:spacing w:after="40"/>
      </w:pPr>
      <w:r>
        <w:rPr>
          <w:b/>
          <w:color w:val="505050"/>
          <w:sz w:val="18"/>
        </w:rPr>
        <w:t>Esempio</w:t>
      </w:r>
    </w:p>
    <w:p>
      <w:pPr>
        <w:pStyle w:val="CodeBlock"/>
      </w:pPr>
      <w:r>
        <w:rPr>
          <w:rFonts w:ascii="Courier New" w:hAnsi="Courier New" w:eastAsia="Courier New"/>
          <w:sz w:val="16"/>
        </w:rPr>
        <w:t>News: "Apple shares fell after weak China sales, while suppliers rallied on separate AI optimism."</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Per AAPL:</w:t>
      </w:r>
    </w:p>
    <w:p>
      <w:pPr>
        <w:pStyle w:val="CodeBlock"/>
      </w:pPr>
      <w:r>
        <w:rPr>
          <w:rFonts w:ascii="Courier New" w:hAnsi="Courier New" w:eastAsia="Courier New"/>
          <w:sz w:val="16"/>
        </w:rPr>
        <w:t xml:space="preserve">  evidence = "Apple shares fell after weak China sales"</w:t>
      </w:r>
    </w:p>
    <w:p>
      <w:pPr>
        <w:pStyle w:val="CodeBlock"/>
      </w:pPr>
      <w:r>
        <w:rPr>
          <w:rFonts w:ascii="Courier New" w:hAnsi="Courier New" w:eastAsia="Courier New"/>
          <w:sz w:val="16"/>
        </w:rPr>
        <w:t xml:space="preserve">  issuer_sentiment = negative</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Per supplier X:</w:t>
      </w:r>
    </w:p>
    <w:p>
      <w:pPr>
        <w:pStyle w:val="CodeBlock"/>
      </w:pPr>
      <w:r>
        <w:rPr>
          <w:rFonts w:ascii="Courier New" w:hAnsi="Courier New" w:eastAsia="Courier New"/>
          <w:sz w:val="16"/>
        </w:rPr>
        <w:t xml:space="preserve">  evidence = "suppliers rallied on separate AI optimism"</w:t>
      </w:r>
    </w:p>
    <w:p>
      <w:pPr>
        <w:pStyle w:val="CodeBlock"/>
      </w:pPr>
      <w:r>
        <w:rPr>
          <w:rFonts w:ascii="Courier New" w:hAnsi="Courier New" w:eastAsia="Courier New"/>
          <w:sz w:val="16"/>
        </w:rPr>
        <w:t xml:space="preserve">  issuer_sentiment = positive</w:t>
      </w:r>
    </w:p>
    <w:p>
      <w:pPr>
        <w:pStyle w:val="Heading2"/>
      </w:pPr>
      <w:r>
        <w:t>5.1 Componenti del sentiment score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304"/>
            <w:shd w:fill="1F4E79"/>
          </w:tcPr>
          <w:p>
            <w:pPr>
              <w:spacing w:after="0"/>
            </w:pPr>
            <w:r>
              <w:rPr>
                <w:color w:val="FFFFFF"/>
              </w:rPr>
            </w:r>
            <w:r>
              <w:rPr>
                <w:b/>
                <w:color w:val="FFFFFF"/>
                <w:sz w:val="16"/>
              </w:rPr>
              <w:t>Campo</w:t>
            </w:r>
          </w:p>
        </w:tc>
        <w:tc>
          <w:tcPr>
            <w:tcW w:type="dxa" w:w="1440"/>
            <w:shd w:fill="1F4E79"/>
          </w:tcPr>
          <w:p>
            <w:pPr>
              <w:spacing w:after="0"/>
            </w:pPr>
            <w:r>
              <w:rPr>
                <w:color w:val="FFFFFF"/>
              </w:rPr>
            </w:r>
            <w:r>
              <w:rPr>
                <w:b/>
                <w:color w:val="FFFFFF"/>
                <w:sz w:val="16"/>
              </w:rPr>
              <w:t>Range</w:t>
            </w:r>
          </w:p>
        </w:tc>
        <w:tc>
          <w:tcPr>
            <w:tcW w:type="dxa" w:w="6912"/>
            <w:shd w:fill="1F4E79"/>
          </w:tcPr>
          <w:p>
            <w:pPr>
              <w:spacing w:after="0"/>
            </w:pPr>
            <w:r>
              <w:rPr>
                <w:color w:val="FFFFFF"/>
              </w:rPr>
            </w:r>
            <w:r>
              <w:rPr>
                <w:b/>
                <w:color w:val="FFFFFF"/>
                <w:sz w:val="16"/>
              </w:rPr>
              <w:t>Significato</w:t>
            </w:r>
          </w:p>
        </w:tc>
      </w:tr>
      <w:tr>
        <w:tc>
          <w:tcPr>
            <w:tcW w:type="dxa" w:w="2304"/>
          </w:tcPr>
          <w:p>
            <w:pPr>
              <w:spacing w:after="0"/>
            </w:pPr>
            <w:r/>
            <w:r>
              <w:rPr>
                <w:b w:val="0"/>
                <w:sz w:val="16"/>
              </w:rPr>
              <w:t>polarity</w:t>
            </w:r>
          </w:p>
        </w:tc>
        <w:tc>
          <w:tcPr>
            <w:tcW w:type="dxa" w:w="1440"/>
          </w:tcPr>
          <w:p>
            <w:pPr>
              <w:spacing w:after="0"/>
            </w:pPr>
            <w:r/>
            <w:r>
              <w:rPr>
                <w:b w:val="0"/>
                <w:sz w:val="16"/>
              </w:rPr>
              <w:t>-1..+1</w:t>
            </w:r>
          </w:p>
        </w:tc>
        <w:tc>
          <w:tcPr>
            <w:tcW w:type="dxa" w:w="6912"/>
          </w:tcPr>
          <w:p>
            <w:pPr>
              <w:spacing w:after="0"/>
            </w:pPr>
            <w:r/>
            <w:r>
              <w:rPr>
                <w:b w:val="0"/>
                <w:sz w:val="16"/>
              </w:rPr>
              <w:t>Direzione dell'impatto atteso sul prezzo del singolo emittente.</w:t>
            </w:r>
          </w:p>
        </w:tc>
      </w:tr>
      <w:tr>
        <w:tc>
          <w:tcPr>
            <w:tcW w:type="dxa" w:w="2304"/>
          </w:tcPr>
          <w:p>
            <w:pPr>
              <w:spacing w:after="0"/>
            </w:pPr>
            <w:r/>
            <w:r>
              <w:rPr>
                <w:b w:val="0"/>
                <w:sz w:val="16"/>
              </w:rPr>
              <w:t>confidence</w:t>
            </w:r>
          </w:p>
        </w:tc>
        <w:tc>
          <w:tcPr>
            <w:tcW w:type="dxa" w:w="1440"/>
          </w:tcPr>
          <w:p>
            <w:pPr>
              <w:spacing w:after="0"/>
            </w:pPr>
            <w:r/>
            <w:r>
              <w:rPr>
                <w:b w:val="0"/>
                <w:sz w:val="16"/>
              </w:rPr>
              <w:t>0..1</w:t>
            </w:r>
          </w:p>
        </w:tc>
        <w:tc>
          <w:tcPr>
            <w:tcW w:type="dxa" w:w="6912"/>
          </w:tcPr>
          <w:p>
            <w:pPr>
              <w:spacing w:after="0"/>
            </w:pPr>
            <w:r/>
            <w:r>
              <w:rPr>
                <w:b w:val="0"/>
                <w:sz w:val="16"/>
              </w:rPr>
              <w:t>Certezza del modello sul giudizio testuale.</w:t>
            </w:r>
          </w:p>
        </w:tc>
      </w:tr>
      <w:tr>
        <w:tc>
          <w:tcPr>
            <w:tcW w:type="dxa" w:w="2304"/>
          </w:tcPr>
          <w:p>
            <w:pPr>
              <w:spacing w:after="0"/>
            </w:pPr>
            <w:r/>
            <w:r>
              <w:rPr>
                <w:b w:val="0"/>
                <w:sz w:val="16"/>
              </w:rPr>
              <w:t>materiality</w:t>
            </w:r>
          </w:p>
        </w:tc>
        <w:tc>
          <w:tcPr>
            <w:tcW w:type="dxa" w:w="1440"/>
          </w:tcPr>
          <w:p>
            <w:pPr>
              <w:spacing w:after="0"/>
            </w:pPr>
            <w:r/>
            <w:r>
              <w:rPr>
                <w:b w:val="0"/>
                <w:sz w:val="16"/>
              </w:rPr>
              <w:t>0..1</w:t>
            </w:r>
          </w:p>
        </w:tc>
        <w:tc>
          <w:tcPr>
            <w:tcW w:type="dxa" w:w="6912"/>
          </w:tcPr>
          <w:p>
            <w:pPr>
              <w:spacing w:after="0"/>
            </w:pPr>
            <w:r/>
            <w:r>
              <w:rPr>
                <w:b w:val="0"/>
                <w:sz w:val="16"/>
              </w:rPr>
              <w:t>Quanto la news è economicamente rilevante per cash flow, margini, rischio o multipli.</w:t>
            </w:r>
          </w:p>
        </w:tc>
      </w:tr>
      <w:tr>
        <w:tc>
          <w:tcPr>
            <w:tcW w:type="dxa" w:w="2304"/>
          </w:tcPr>
          <w:p>
            <w:pPr>
              <w:spacing w:after="0"/>
            </w:pPr>
            <w:r/>
            <w:r>
              <w:rPr>
                <w:b w:val="0"/>
                <w:sz w:val="16"/>
              </w:rPr>
              <w:t>novelty</w:t>
            </w:r>
          </w:p>
        </w:tc>
        <w:tc>
          <w:tcPr>
            <w:tcW w:type="dxa" w:w="1440"/>
          </w:tcPr>
          <w:p>
            <w:pPr>
              <w:spacing w:after="0"/>
            </w:pPr>
            <w:r/>
            <w:r>
              <w:rPr>
                <w:b w:val="0"/>
                <w:sz w:val="16"/>
              </w:rPr>
              <w:t>0..1</w:t>
            </w:r>
          </w:p>
        </w:tc>
        <w:tc>
          <w:tcPr>
            <w:tcW w:type="dxa" w:w="6912"/>
          </w:tcPr>
          <w:p>
            <w:pPr>
              <w:spacing w:after="0"/>
            </w:pPr>
            <w:r/>
            <w:r>
              <w:rPr>
                <w:b w:val="0"/>
                <w:sz w:val="16"/>
              </w:rPr>
              <w:t>Quanto la notizia è nuova e non già nota/prezzata.</w:t>
            </w:r>
          </w:p>
        </w:tc>
      </w:tr>
      <w:tr>
        <w:tc>
          <w:tcPr>
            <w:tcW w:type="dxa" w:w="2304"/>
          </w:tcPr>
          <w:p>
            <w:pPr>
              <w:spacing w:after="0"/>
            </w:pPr>
            <w:r/>
            <w:r>
              <w:rPr>
                <w:b w:val="0"/>
                <w:sz w:val="16"/>
              </w:rPr>
              <w:t>directness_multiplier</w:t>
            </w:r>
          </w:p>
        </w:tc>
        <w:tc>
          <w:tcPr>
            <w:tcW w:type="dxa" w:w="1440"/>
          </w:tcPr>
          <w:p>
            <w:pPr>
              <w:spacing w:after="0"/>
            </w:pPr>
            <w:r/>
            <w:r>
              <w:rPr>
                <w:b w:val="0"/>
                <w:sz w:val="16"/>
              </w:rPr>
              <w:t>0..1</w:t>
            </w:r>
          </w:p>
        </w:tc>
        <w:tc>
          <w:tcPr>
            <w:tcW w:type="dxa" w:w="6912"/>
          </w:tcPr>
          <w:p>
            <w:pPr>
              <w:spacing w:after="0"/>
            </w:pPr>
            <w:r/>
            <w:r>
              <w:rPr>
                <w:b w:val="0"/>
                <w:sz w:val="16"/>
              </w:rPr>
              <w:t>Riduce segnali indiretti, macro o settoriali.</w:t>
            </w:r>
          </w:p>
        </w:tc>
      </w:tr>
      <w:tr>
        <w:tc>
          <w:tcPr>
            <w:tcW w:type="dxa" w:w="2304"/>
          </w:tcPr>
          <w:p>
            <w:pPr>
              <w:spacing w:after="0"/>
            </w:pPr>
            <w:r/>
            <w:r>
              <w:rPr>
                <w:b w:val="0"/>
                <w:sz w:val="16"/>
              </w:rPr>
              <w:t>source_quality</w:t>
            </w:r>
          </w:p>
        </w:tc>
        <w:tc>
          <w:tcPr>
            <w:tcW w:type="dxa" w:w="1440"/>
          </w:tcPr>
          <w:p>
            <w:pPr>
              <w:spacing w:after="0"/>
            </w:pPr>
            <w:r/>
            <w:r>
              <w:rPr>
                <w:b w:val="0"/>
                <w:sz w:val="16"/>
              </w:rPr>
              <w:t>0..1</w:t>
            </w:r>
          </w:p>
        </w:tc>
        <w:tc>
          <w:tcPr>
            <w:tcW w:type="dxa" w:w="6912"/>
          </w:tcPr>
          <w:p>
            <w:pPr>
              <w:spacing w:after="0"/>
            </w:pPr>
            <w:r/>
            <w:r>
              <w:rPr>
                <w:b w:val="0"/>
                <w:sz w:val="16"/>
              </w:rPr>
              <w:t>Affidabilità e tempestività della fonte.</w:t>
            </w:r>
          </w:p>
        </w:tc>
      </w:tr>
      <w:tr>
        <w:tc>
          <w:tcPr>
            <w:tcW w:type="dxa" w:w="2304"/>
          </w:tcPr>
          <w:p>
            <w:pPr>
              <w:spacing w:after="0"/>
            </w:pPr>
            <w:r/>
            <w:r>
              <w:rPr>
                <w:b w:val="0"/>
                <w:sz w:val="16"/>
              </w:rPr>
              <w:t>event_type_weight</w:t>
            </w:r>
          </w:p>
        </w:tc>
        <w:tc>
          <w:tcPr>
            <w:tcW w:type="dxa" w:w="1440"/>
          </w:tcPr>
          <w:p>
            <w:pPr>
              <w:spacing w:after="0"/>
            </w:pPr>
            <w:r/>
            <w:r>
              <w:rPr>
                <w:b w:val="0"/>
                <w:sz w:val="16"/>
              </w:rPr>
              <w:t>0..1</w:t>
            </w:r>
          </w:p>
        </w:tc>
        <w:tc>
          <w:tcPr>
            <w:tcW w:type="dxa" w:w="6912"/>
          </w:tcPr>
          <w:p>
            <w:pPr>
              <w:spacing w:after="0"/>
            </w:pPr>
            <w:r/>
            <w:r>
              <w:rPr>
                <w:b w:val="0"/>
                <w:sz w:val="16"/>
              </w:rPr>
              <w:t>Peso dell'evento in base alla sua rilevanza storica.</w:t>
            </w:r>
          </w:p>
        </w:tc>
      </w:tr>
    </w:tbl>
    <w:p>
      <w:pPr>
        <w:spacing w:after="0"/>
      </w:pPr>
    </w:p>
    <w:p>
      <w:pPr>
        <w:pStyle w:val="Heading2"/>
      </w:pPr>
      <w:r>
        <w:t>5.2 Formula score proposta</w:t>
      </w:r>
    </w:p>
    <w:p>
      <w:pPr>
        <w:spacing w:after="40"/>
      </w:pPr>
      <w:r>
        <w:rPr>
          <w:b/>
          <w:color w:val="505050"/>
          <w:sz w:val="18"/>
        </w:rPr>
        <w:t>Score S4 raccomandato</w:t>
      </w:r>
    </w:p>
    <w:p>
      <w:pPr>
        <w:pStyle w:val="CodeBlock"/>
      </w:pPr>
      <w:r>
        <w:rPr>
          <w:rFonts w:ascii="Courier New" w:hAnsi="Courier New" w:eastAsia="Courier New"/>
          <w:sz w:val="16"/>
        </w:rPr>
        <w:t>final_news_score =</w:t>
      </w:r>
    </w:p>
    <w:p>
      <w:pPr>
        <w:pStyle w:val="CodeBlock"/>
      </w:pPr>
      <w:r>
        <w:rPr>
          <w:rFonts w:ascii="Courier New" w:hAnsi="Courier New" w:eastAsia="Courier New"/>
          <w:sz w:val="16"/>
        </w:rPr>
        <w:t xml:space="preserve">    polarity</w:t>
      </w:r>
    </w:p>
    <w:p>
      <w:pPr>
        <w:pStyle w:val="CodeBlock"/>
      </w:pPr>
      <w:r>
        <w:rPr>
          <w:rFonts w:ascii="Courier New" w:hAnsi="Courier New" w:eastAsia="Courier New"/>
          <w:sz w:val="16"/>
        </w:rPr>
        <w:t xml:space="preserve">  * confidence</w:t>
      </w:r>
    </w:p>
    <w:p>
      <w:pPr>
        <w:pStyle w:val="CodeBlock"/>
      </w:pPr>
      <w:r>
        <w:rPr>
          <w:rFonts w:ascii="Courier New" w:hAnsi="Courier New" w:eastAsia="Courier New"/>
          <w:sz w:val="16"/>
        </w:rPr>
        <w:t xml:space="preserve">  * materiality</w:t>
      </w:r>
    </w:p>
    <w:p>
      <w:pPr>
        <w:pStyle w:val="CodeBlock"/>
      </w:pPr>
      <w:r>
        <w:rPr>
          <w:rFonts w:ascii="Courier New" w:hAnsi="Courier New" w:eastAsia="Courier New"/>
          <w:sz w:val="16"/>
        </w:rPr>
        <w:t xml:space="preserve">  * novelty</w:t>
      </w:r>
    </w:p>
    <w:p>
      <w:pPr>
        <w:pStyle w:val="CodeBlock"/>
      </w:pPr>
      <w:r>
        <w:rPr>
          <w:rFonts w:ascii="Courier New" w:hAnsi="Courier New" w:eastAsia="Courier New"/>
          <w:sz w:val="16"/>
        </w:rPr>
        <w:t xml:space="preserve">  * directness_multiplier</w:t>
      </w:r>
    </w:p>
    <w:p>
      <w:pPr>
        <w:pStyle w:val="CodeBlock"/>
      </w:pPr>
      <w:r>
        <w:rPr>
          <w:rFonts w:ascii="Courier New" w:hAnsi="Courier New" w:eastAsia="Courier New"/>
          <w:sz w:val="16"/>
        </w:rPr>
        <w:t xml:space="preserve">  * source_quality</w:t>
      </w:r>
    </w:p>
    <w:p>
      <w:pPr>
        <w:pStyle w:val="CodeBlock"/>
      </w:pPr>
      <w:r>
        <w:rPr>
          <w:rFonts w:ascii="Courier New" w:hAnsi="Courier New" w:eastAsia="Courier New"/>
          <w:sz w:val="16"/>
        </w:rPr>
        <w:t xml:space="preserve">  * event_type_weight</w:t>
      </w:r>
    </w:p>
    <w:p>
      <w:r>
        <w:t>Con questa formula, il threshold esistente score &gt;= 0.30 resta leggibile, ma diventa più robusto perché incorpora rilevanza, directness e qualità della fonte. Un +0.80 basato su rumor generico non avrà lo stesso peso di un +0.80 basato su guidance ufficiale.</w:t>
      </w:r>
    </w:p>
    <w:p>
      <w:pPr>
        <w:pStyle w:val="Heading2"/>
      </w:pPr>
      <w:r>
        <w:t>5.3 Pesi evento iniziali</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56"/>
            <w:shd w:fill="1F4E79"/>
          </w:tcPr>
          <w:p>
            <w:pPr>
              <w:spacing w:after="0"/>
            </w:pPr>
            <w:r>
              <w:rPr>
                <w:color w:val="FFFFFF"/>
              </w:rPr>
            </w:r>
            <w:r>
              <w:rPr>
                <w:b/>
                <w:color w:val="FFFFFF"/>
                <w:sz w:val="16"/>
              </w:rPr>
              <w:t>Event type</w:t>
            </w:r>
          </w:p>
        </w:tc>
        <w:tc>
          <w:tcPr>
            <w:tcW w:type="dxa" w:w="1728"/>
            <w:shd w:fill="1F4E79"/>
          </w:tcPr>
          <w:p>
            <w:pPr>
              <w:spacing w:after="0"/>
            </w:pPr>
            <w:r>
              <w:rPr>
                <w:color w:val="FFFFFF"/>
              </w:rPr>
            </w:r>
            <w:r>
              <w:rPr>
                <w:b/>
                <w:color w:val="FFFFFF"/>
                <w:sz w:val="16"/>
              </w:rPr>
              <w:t>Peso iniziale</w:t>
            </w:r>
          </w:p>
        </w:tc>
        <w:tc>
          <w:tcPr>
            <w:tcW w:type="dxa" w:w="5616"/>
            <w:shd w:fill="1F4E79"/>
          </w:tcPr>
          <w:p>
            <w:pPr>
              <w:spacing w:after="0"/>
            </w:pPr>
            <w:r>
              <w:rPr>
                <w:color w:val="FFFFFF"/>
              </w:rPr>
            </w:r>
            <w:r>
              <w:rPr>
                <w:b/>
                <w:color w:val="FFFFFF"/>
                <w:sz w:val="16"/>
              </w:rPr>
              <w:t>Nota</w:t>
            </w:r>
          </w:p>
        </w:tc>
      </w:tr>
      <w:tr>
        <w:tc>
          <w:tcPr>
            <w:tcW w:type="dxa" w:w="3456"/>
          </w:tcPr>
          <w:p>
            <w:pPr>
              <w:spacing w:after="0"/>
            </w:pPr>
            <w:r/>
            <w:r>
              <w:rPr>
                <w:b w:val="0"/>
                <w:sz w:val="16"/>
              </w:rPr>
              <w:t>earnings_guidance</w:t>
            </w:r>
          </w:p>
        </w:tc>
        <w:tc>
          <w:tcPr>
            <w:tcW w:type="dxa" w:w="1728"/>
          </w:tcPr>
          <w:p>
            <w:pPr>
              <w:spacing w:after="0"/>
            </w:pPr>
            <w:r/>
            <w:r>
              <w:rPr>
                <w:b w:val="0"/>
                <w:sz w:val="16"/>
              </w:rPr>
              <w:t>1.00</w:t>
            </w:r>
          </w:p>
        </w:tc>
        <w:tc>
          <w:tcPr>
            <w:tcW w:type="dxa" w:w="5616"/>
          </w:tcPr>
          <w:p>
            <w:pPr>
              <w:spacing w:after="0"/>
            </w:pPr>
            <w:r/>
            <w:r>
              <w:rPr>
                <w:b w:val="0"/>
                <w:sz w:val="16"/>
              </w:rPr>
              <w:t>Beat/miss con guidance è spesso molto rilevante.</w:t>
            </w:r>
          </w:p>
        </w:tc>
      </w:tr>
      <w:tr>
        <w:tc>
          <w:tcPr>
            <w:tcW w:type="dxa" w:w="3456"/>
          </w:tcPr>
          <w:p>
            <w:pPr>
              <w:spacing w:after="0"/>
            </w:pPr>
            <w:r/>
            <w:r>
              <w:rPr>
                <w:b w:val="0"/>
                <w:sz w:val="16"/>
              </w:rPr>
              <w:t>guidance_revision</w:t>
            </w:r>
          </w:p>
        </w:tc>
        <w:tc>
          <w:tcPr>
            <w:tcW w:type="dxa" w:w="1728"/>
          </w:tcPr>
          <w:p>
            <w:pPr>
              <w:spacing w:after="0"/>
            </w:pPr>
            <w:r/>
            <w:r>
              <w:rPr>
                <w:b w:val="0"/>
                <w:sz w:val="16"/>
              </w:rPr>
              <w:t>1.00</w:t>
            </w:r>
          </w:p>
        </w:tc>
        <w:tc>
          <w:tcPr>
            <w:tcW w:type="dxa" w:w="5616"/>
          </w:tcPr>
          <w:p>
            <w:pPr>
              <w:spacing w:after="0"/>
            </w:pPr>
            <w:r/>
            <w:r>
              <w:rPr>
                <w:b w:val="0"/>
                <w:sz w:val="16"/>
              </w:rPr>
              <w:t>Revisione guidance può modificare stime e multipli.</w:t>
            </w:r>
          </w:p>
        </w:tc>
      </w:tr>
      <w:tr>
        <w:tc>
          <w:tcPr>
            <w:tcW w:type="dxa" w:w="3456"/>
          </w:tcPr>
          <w:p>
            <w:pPr>
              <w:spacing w:after="0"/>
            </w:pPr>
            <w:r/>
            <w:r>
              <w:rPr>
                <w:b w:val="0"/>
                <w:sz w:val="16"/>
              </w:rPr>
              <w:t>mna_confirmed</w:t>
            </w:r>
          </w:p>
        </w:tc>
        <w:tc>
          <w:tcPr>
            <w:tcW w:type="dxa" w:w="1728"/>
          </w:tcPr>
          <w:p>
            <w:pPr>
              <w:spacing w:after="0"/>
            </w:pPr>
            <w:r/>
            <w:r>
              <w:rPr>
                <w:b w:val="0"/>
                <w:sz w:val="16"/>
              </w:rPr>
              <w:t>0.90</w:t>
            </w:r>
          </w:p>
        </w:tc>
        <w:tc>
          <w:tcPr>
            <w:tcW w:type="dxa" w:w="5616"/>
          </w:tcPr>
          <w:p>
            <w:pPr>
              <w:spacing w:after="0"/>
            </w:pPr>
            <w:r/>
            <w:r>
              <w:rPr>
                <w:b w:val="0"/>
                <w:sz w:val="16"/>
              </w:rPr>
              <w:t>Dipende da deal terms e target/acquirer.</w:t>
            </w:r>
          </w:p>
        </w:tc>
      </w:tr>
      <w:tr>
        <w:tc>
          <w:tcPr>
            <w:tcW w:type="dxa" w:w="3456"/>
          </w:tcPr>
          <w:p>
            <w:pPr>
              <w:spacing w:after="0"/>
            </w:pPr>
            <w:r/>
            <w:r>
              <w:rPr>
                <w:b w:val="0"/>
                <w:sz w:val="16"/>
              </w:rPr>
              <w:t>regulatory_approval_rejection</w:t>
            </w:r>
          </w:p>
        </w:tc>
        <w:tc>
          <w:tcPr>
            <w:tcW w:type="dxa" w:w="1728"/>
          </w:tcPr>
          <w:p>
            <w:pPr>
              <w:spacing w:after="0"/>
            </w:pPr>
            <w:r/>
            <w:r>
              <w:rPr>
                <w:b w:val="0"/>
                <w:sz w:val="16"/>
              </w:rPr>
              <w:t>0.85</w:t>
            </w:r>
          </w:p>
        </w:tc>
        <w:tc>
          <w:tcPr>
            <w:tcW w:type="dxa" w:w="5616"/>
          </w:tcPr>
          <w:p>
            <w:pPr>
              <w:spacing w:after="0"/>
            </w:pPr>
            <w:r/>
            <w:r>
              <w:rPr>
                <w:b w:val="0"/>
                <w:sz w:val="16"/>
              </w:rPr>
              <w:t>Molto importante per biotech, fintech, energia.</w:t>
            </w:r>
          </w:p>
        </w:tc>
      </w:tr>
      <w:tr>
        <w:tc>
          <w:tcPr>
            <w:tcW w:type="dxa" w:w="3456"/>
          </w:tcPr>
          <w:p>
            <w:pPr>
              <w:spacing w:after="0"/>
            </w:pPr>
            <w:r/>
            <w:r>
              <w:rPr>
                <w:b w:val="0"/>
                <w:sz w:val="16"/>
              </w:rPr>
              <w:t>lawsuit_investigation</w:t>
            </w:r>
          </w:p>
        </w:tc>
        <w:tc>
          <w:tcPr>
            <w:tcW w:type="dxa" w:w="1728"/>
          </w:tcPr>
          <w:p>
            <w:pPr>
              <w:spacing w:after="0"/>
            </w:pPr>
            <w:r/>
            <w:r>
              <w:rPr>
                <w:b w:val="0"/>
                <w:sz w:val="16"/>
              </w:rPr>
              <w:t>0.75</w:t>
            </w:r>
          </w:p>
        </w:tc>
        <w:tc>
          <w:tcPr>
            <w:tcW w:type="dxa" w:w="5616"/>
          </w:tcPr>
          <w:p>
            <w:pPr>
              <w:spacing w:after="0"/>
            </w:pPr>
            <w:r/>
            <w:r>
              <w:rPr>
                <w:b w:val="0"/>
                <w:sz w:val="16"/>
              </w:rPr>
              <w:t>Rilevanza dipende da materialità economica.</w:t>
            </w:r>
          </w:p>
        </w:tc>
      </w:tr>
      <w:tr>
        <w:tc>
          <w:tcPr>
            <w:tcW w:type="dxa" w:w="3456"/>
          </w:tcPr>
          <w:p>
            <w:pPr>
              <w:spacing w:after="0"/>
            </w:pPr>
            <w:r/>
            <w:r>
              <w:rPr>
                <w:b w:val="0"/>
                <w:sz w:val="16"/>
              </w:rPr>
              <w:t>analyst_upgrade_downgrade</w:t>
            </w:r>
          </w:p>
        </w:tc>
        <w:tc>
          <w:tcPr>
            <w:tcW w:type="dxa" w:w="1728"/>
          </w:tcPr>
          <w:p>
            <w:pPr>
              <w:spacing w:after="0"/>
            </w:pPr>
            <w:r/>
            <w:r>
              <w:rPr>
                <w:b w:val="0"/>
                <w:sz w:val="16"/>
              </w:rPr>
              <w:t>0.55</w:t>
            </w:r>
          </w:p>
        </w:tc>
        <w:tc>
          <w:tcPr>
            <w:tcW w:type="dxa" w:w="5616"/>
          </w:tcPr>
          <w:p>
            <w:pPr>
              <w:spacing w:after="0"/>
            </w:pPr>
            <w:r/>
            <w:r>
              <w:rPr>
                <w:b w:val="0"/>
                <w:sz w:val="16"/>
              </w:rPr>
              <w:t>Spesso impatto breve e già atteso.</w:t>
            </w:r>
          </w:p>
        </w:tc>
      </w:tr>
      <w:tr>
        <w:tc>
          <w:tcPr>
            <w:tcW w:type="dxa" w:w="3456"/>
          </w:tcPr>
          <w:p>
            <w:pPr>
              <w:spacing w:after="0"/>
            </w:pPr>
            <w:r/>
            <w:r>
              <w:rPr>
                <w:b w:val="0"/>
                <w:sz w:val="16"/>
              </w:rPr>
              <w:t>product_announcement</w:t>
            </w:r>
          </w:p>
        </w:tc>
        <w:tc>
          <w:tcPr>
            <w:tcW w:type="dxa" w:w="1728"/>
          </w:tcPr>
          <w:p>
            <w:pPr>
              <w:spacing w:after="0"/>
            </w:pPr>
            <w:r/>
            <w:r>
              <w:rPr>
                <w:b w:val="0"/>
                <w:sz w:val="16"/>
              </w:rPr>
              <w:t>0.45</w:t>
            </w:r>
          </w:p>
        </w:tc>
        <w:tc>
          <w:tcPr>
            <w:tcW w:type="dxa" w:w="5616"/>
          </w:tcPr>
          <w:p>
            <w:pPr>
              <w:spacing w:after="0"/>
            </w:pPr>
            <w:r/>
            <w:r>
              <w:rPr>
                <w:b w:val="0"/>
                <w:sz w:val="16"/>
              </w:rPr>
              <w:t>Da filtrare per revenue materiality.</w:t>
            </w:r>
          </w:p>
        </w:tc>
      </w:tr>
      <w:tr>
        <w:tc>
          <w:tcPr>
            <w:tcW w:type="dxa" w:w="3456"/>
          </w:tcPr>
          <w:p>
            <w:pPr>
              <w:spacing w:after="0"/>
            </w:pPr>
            <w:r/>
            <w:r>
              <w:rPr>
                <w:b w:val="0"/>
                <w:sz w:val="16"/>
              </w:rPr>
              <w:t>rumor</w:t>
            </w:r>
          </w:p>
        </w:tc>
        <w:tc>
          <w:tcPr>
            <w:tcW w:type="dxa" w:w="1728"/>
          </w:tcPr>
          <w:p>
            <w:pPr>
              <w:spacing w:after="0"/>
            </w:pPr>
            <w:r/>
            <w:r>
              <w:rPr>
                <w:b w:val="0"/>
                <w:sz w:val="16"/>
              </w:rPr>
              <w:t>0.25</w:t>
            </w:r>
          </w:p>
        </w:tc>
        <w:tc>
          <w:tcPr>
            <w:tcW w:type="dxa" w:w="5616"/>
          </w:tcPr>
          <w:p>
            <w:pPr>
              <w:spacing w:after="0"/>
            </w:pPr>
            <w:r/>
            <w:r>
              <w:rPr>
                <w:b w:val="0"/>
                <w:sz w:val="16"/>
              </w:rPr>
              <w:t>Da penalizzare fortemente.</w:t>
            </w:r>
          </w:p>
        </w:tc>
      </w:tr>
      <w:tr>
        <w:tc>
          <w:tcPr>
            <w:tcW w:type="dxa" w:w="3456"/>
          </w:tcPr>
          <w:p>
            <w:pPr>
              <w:spacing w:after="0"/>
            </w:pPr>
            <w:r/>
            <w:r>
              <w:rPr>
                <w:b w:val="0"/>
                <w:sz w:val="16"/>
              </w:rPr>
              <w:t>macro_sector</w:t>
            </w:r>
          </w:p>
        </w:tc>
        <w:tc>
          <w:tcPr>
            <w:tcW w:type="dxa" w:w="1728"/>
          </w:tcPr>
          <w:p>
            <w:pPr>
              <w:spacing w:after="0"/>
            </w:pPr>
            <w:r/>
            <w:r>
              <w:rPr>
                <w:b w:val="0"/>
                <w:sz w:val="16"/>
              </w:rPr>
              <w:t>0.20</w:t>
            </w:r>
          </w:p>
        </w:tc>
        <w:tc>
          <w:tcPr>
            <w:tcW w:type="dxa" w:w="5616"/>
          </w:tcPr>
          <w:p>
            <w:pPr>
              <w:spacing w:after="0"/>
            </w:pPr>
            <w:r/>
            <w:r>
              <w:rPr>
                <w:b w:val="0"/>
                <w:sz w:val="16"/>
              </w:rPr>
              <w:t>Meglio come regime/context, non issuer signal.</w:t>
            </w:r>
          </w:p>
        </w:tc>
      </w:tr>
    </w:tbl>
    <w:p>
      <w:pPr>
        <w:spacing w:after="0"/>
      </w:pPr>
    </w:p>
    <w:p>
      <w:r>
        <w:br w:type="page"/>
      </w:r>
    </w:p>
    <w:p>
      <w:pPr>
        <w:pStyle w:val="Heading1"/>
      </w:pPr>
      <w:r>
        <w:t>6. Ruolo di Kimi K2.6, GLM-5.2 e FinBERT</w:t>
      </w:r>
    </w:p>
    <w:p>
      <w:r>
        <w:t>Kimi K2.6 e GLM-5.2 sono adatti come modelli generalisti per estrazione, spiegazione, classificazione evento e materialità. FinBERT è invece uno strumento più stretto: classificazione del sentiment finanziario testuale. Per questo non deve arbitrare ticker, directness, materialità o buy/sell.</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15"/>
            <w:shd w:fill="1F4E79"/>
          </w:tcPr>
          <w:p>
            <w:pPr>
              <w:spacing w:after="0"/>
            </w:pPr>
            <w:r>
              <w:rPr>
                <w:color w:val="FFFFFF"/>
              </w:rPr>
            </w:r>
            <w:r>
              <w:rPr>
                <w:b/>
                <w:color w:val="FFFFFF"/>
                <w:sz w:val="15"/>
              </w:rPr>
              <w:t>Task</w:t>
            </w:r>
          </w:p>
        </w:tc>
        <w:tc>
          <w:tcPr>
            <w:tcW w:type="dxa" w:w="1440"/>
            <w:shd w:fill="1F4E79"/>
          </w:tcPr>
          <w:p>
            <w:pPr>
              <w:spacing w:after="0"/>
            </w:pPr>
            <w:r>
              <w:rPr>
                <w:color w:val="FFFFFF"/>
              </w:rPr>
            </w:r>
            <w:r>
              <w:rPr>
                <w:b/>
                <w:color w:val="FFFFFF"/>
                <w:sz w:val="15"/>
              </w:rPr>
              <w:t>Kimi K2.6</w:t>
            </w:r>
          </w:p>
        </w:tc>
        <w:tc>
          <w:tcPr>
            <w:tcW w:type="dxa" w:w="1440"/>
            <w:shd w:fill="1F4E79"/>
          </w:tcPr>
          <w:p>
            <w:pPr>
              <w:spacing w:after="0"/>
            </w:pPr>
            <w:r>
              <w:rPr>
                <w:color w:val="FFFFFF"/>
              </w:rPr>
            </w:r>
            <w:r>
              <w:rPr>
                <w:b/>
                <w:color w:val="FFFFFF"/>
                <w:sz w:val="15"/>
              </w:rPr>
              <w:t>GLM-5.2</w:t>
            </w:r>
          </w:p>
        </w:tc>
        <w:tc>
          <w:tcPr>
            <w:tcW w:type="dxa" w:w="1584"/>
            <w:shd w:fill="1F4E79"/>
          </w:tcPr>
          <w:p>
            <w:pPr>
              <w:spacing w:after="0"/>
            </w:pPr>
            <w:r>
              <w:rPr>
                <w:color w:val="FFFFFF"/>
              </w:rPr>
            </w:r>
            <w:r>
              <w:rPr>
                <w:b/>
                <w:color w:val="FFFFFF"/>
                <w:sz w:val="15"/>
              </w:rPr>
              <w:t>FinBERT locale</w:t>
            </w:r>
          </w:p>
        </w:tc>
        <w:tc>
          <w:tcPr>
            <w:tcW w:type="dxa" w:w="4608"/>
            <w:shd w:fill="1F4E79"/>
          </w:tcPr>
          <w:p>
            <w:pPr>
              <w:spacing w:after="0"/>
            </w:pPr>
            <w:r>
              <w:rPr>
                <w:color w:val="FFFFFF"/>
              </w:rPr>
            </w:r>
            <w:r>
              <w:rPr>
                <w:b/>
                <w:color w:val="FFFFFF"/>
                <w:sz w:val="15"/>
              </w:rPr>
              <w:t>Decisione consigliata</w:t>
            </w:r>
          </w:p>
        </w:tc>
      </w:tr>
      <w:tr>
        <w:tc>
          <w:tcPr>
            <w:tcW w:type="dxa" w:w="2015"/>
          </w:tcPr>
          <w:p>
            <w:pPr>
              <w:spacing w:after="0"/>
            </w:pPr>
            <w:r/>
            <w:r>
              <w:rPr>
                <w:b w:val="0"/>
                <w:sz w:val="15"/>
              </w:rPr>
              <w:t>Entity extraction</w:t>
            </w:r>
          </w:p>
        </w:tc>
        <w:tc>
          <w:tcPr>
            <w:tcW w:type="dxa" w:w="1440"/>
          </w:tcPr>
          <w:p>
            <w:pPr>
              <w:spacing w:after="0"/>
            </w:pPr>
            <w:r/>
            <w:r>
              <w:rPr>
                <w:b w:val="0"/>
                <w:sz w:val="15"/>
              </w:rPr>
              <w:t>Sì</w:t>
            </w:r>
          </w:p>
        </w:tc>
        <w:tc>
          <w:tcPr>
            <w:tcW w:type="dxa" w:w="1440"/>
          </w:tcPr>
          <w:p>
            <w:pPr>
              <w:spacing w:after="0"/>
            </w:pPr>
            <w:r/>
            <w:r>
              <w:rPr>
                <w:b w:val="0"/>
                <w:sz w:val="15"/>
              </w:rPr>
              <w:t>Sì</w:t>
            </w:r>
          </w:p>
        </w:tc>
        <w:tc>
          <w:tcPr>
            <w:tcW w:type="dxa" w:w="1584"/>
          </w:tcPr>
          <w:p>
            <w:pPr>
              <w:spacing w:after="0"/>
            </w:pPr>
            <w:r/>
            <w:r>
              <w:rPr>
                <w:b w:val="0"/>
                <w:sz w:val="15"/>
              </w:rPr>
              <w:t>No</w:t>
            </w:r>
          </w:p>
        </w:tc>
        <w:tc>
          <w:tcPr>
            <w:tcW w:type="dxa" w:w="4608"/>
          </w:tcPr>
          <w:p>
            <w:pPr>
              <w:spacing w:after="0"/>
            </w:pPr>
            <w:r/>
            <w:r>
              <w:rPr>
                <w:b w:val="0"/>
                <w:sz w:val="15"/>
              </w:rPr>
              <w:t>Kimi + GLM generano candidati.</w:t>
            </w:r>
          </w:p>
        </w:tc>
      </w:tr>
      <w:tr>
        <w:tc>
          <w:tcPr>
            <w:tcW w:type="dxa" w:w="2015"/>
          </w:tcPr>
          <w:p>
            <w:pPr>
              <w:spacing w:after="0"/>
            </w:pPr>
            <w:r/>
            <w:r>
              <w:rPr>
                <w:b w:val="0"/>
                <w:sz w:val="15"/>
              </w:rPr>
              <w:t>Ticker resolution</w:t>
            </w:r>
          </w:p>
        </w:tc>
        <w:tc>
          <w:tcPr>
            <w:tcW w:type="dxa" w:w="1440"/>
          </w:tcPr>
          <w:p>
            <w:pPr>
              <w:spacing w:after="0"/>
            </w:pPr>
            <w:r/>
            <w:r>
              <w:rPr>
                <w:b w:val="0"/>
                <w:sz w:val="15"/>
              </w:rPr>
              <w:t>Solo candidati</w:t>
            </w:r>
          </w:p>
        </w:tc>
        <w:tc>
          <w:tcPr>
            <w:tcW w:type="dxa" w:w="1440"/>
          </w:tcPr>
          <w:p>
            <w:pPr>
              <w:spacing w:after="0"/>
            </w:pPr>
            <w:r/>
            <w:r>
              <w:rPr>
                <w:b w:val="0"/>
                <w:sz w:val="15"/>
              </w:rPr>
              <w:t>Solo candidati</w:t>
            </w:r>
          </w:p>
        </w:tc>
        <w:tc>
          <w:tcPr>
            <w:tcW w:type="dxa" w:w="1584"/>
          </w:tcPr>
          <w:p>
            <w:pPr>
              <w:spacing w:after="0"/>
            </w:pPr>
            <w:r/>
            <w:r>
              <w:rPr>
                <w:b w:val="0"/>
                <w:sz w:val="15"/>
              </w:rPr>
              <w:t>No</w:t>
            </w:r>
          </w:p>
        </w:tc>
        <w:tc>
          <w:tcPr>
            <w:tcW w:type="dxa" w:w="4608"/>
          </w:tcPr>
          <w:p>
            <w:pPr>
              <w:spacing w:after="0"/>
            </w:pPr>
            <w:r/>
            <w:r>
              <w:rPr>
                <w:b w:val="0"/>
                <w:sz w:val="15"/>
              </w:rPr>
              <w:t>Resolver deterministico decide.</w:t>
            </w:r>
          </w:p>
        </w:tc>
      </w:tr>
      <w:tr>
        <w:tc>
          <w:tcPr>
            <w:tcW w:type="dxa" w:w="2015"/>
          </w:tcPr>
          <w:p>
            <w:pPr>
              <w:spacing w:after="0"/>
            </w:pPr>
            <w:r/>
            <w:r>
              <w:rPr>
                <w:b w:val="0"/>
                <w:sz w:val="15"/>
              </w:rPr>
              <w:t>Event type</w:t>
            </w:r>
          </w:p>
        </w:tc>
        <w:tc>
          <w:tcPr>
            <w:tcW w:type="dxa" w:w="1440"/>
          </w:tcPr>
          <w:p>
            <w:pPr>
              <w:spacing w:after="0"/>
            </w:pPr>
            <w:r/>
            <w:r>
              <w:rPr>
                <w:b w:val="0"/>
                <w:sz w:val="15"/>
              </w:rPr>
              <w:t>Sì</w:t>
            </w:r>
          </w:p>
        </w:tc>
        <w:tc>
          <w:tcPr>
            <w:tcW w:type="dxa" w:w="1440"/>
          </w:tcPr>
          <w:p>
            <w:pPr>
              <w:spacing w:after="0"/>
            </w:pPr>
            <w:r/>
            <w:r>
              <w:rPr>
                <w:b w:val="0"/>
                <w:sz w:val="15"/>
              </w:rPr>
              <w:t>Sì</w:t>
            </w:r>
          </w:p>
        </w:tc>
        <w:tc>
          <w:tcPr>
            <w:tcW w:type="dxa" w:w="1584"/>
          </w:tcPr>
          <w:p>
            <w:pPr>
              <w:spacing w:after="0"/>
            </w:pPr>
            <w:r/>
            <w:r>
              <w:rPr>
                <w:b w:val="0"/>
                <w:sz w:val="15"/>
              </w:rPr>
              <w:t>No</w:t>
            </w:r>
          </w:p>
        </w:tc>
        <w:tc>
          <w:tcPr>
            <w:tcW w:type="dxa" w:w="4608"/>
          </w:tcPr>
          <w:p>
            <w:pPr>
              <w:spacing w:after="0"/>
            </w:pPr>
            <w:r/>
            <w:r>
              <w:rPr>
                <w:b w:val="0"/>
                <w:sz w:val="15"/>
              </w:rPr>
              <w:t>Ensemble + tassonomia.</w:t>
            </w:r>
          </w:p>
        </w:tc>
      </w:tr>
      <w:tr>
        <w:tc>
          <w:tcPr>
            <w:tcW w:type="dxa" w:w="2015"/>
          </w:tcPr>
          <w:p>
            <w:pPr>
              <w:spacing w:after="0"/>
            </w:pPr>
            <w:r/>
            <w:r>
              <w:rPr>
                <w:b w:val="0"/>
                <w:sz w:val="15"/>
              </w:rPr>
              <w:t>Materiality</w:t>
            </w:r>
          </w:p>
        </w:tc>
        <w:tc>
          <w:tcPr>
            <w:tcW w:type="dxa" w:w="1440"/>
          </w:tcPr>
          <w:p>
            <w:pPr>
              <w:spacing w:after="0"/>
            </w:pPr>
            <w:r/>
            <w:r>
              <w:rPr>
                <w:b w:val="0"/>
                <w:sz w:val="15"/>
              </w:rPr>
              <w:t>Sì</w:t>
            </w:r>
          </w:p>
        </w:tc>
        <w:tc>
          <w:tcPr>
            <w:tcW w:type="dxa" w:w="1440"/>
          </w:tcPr>
          <w:p>
            <w:pPr>
              <w:spacing w:after="0"/>
            </w:pPr>
            <w:r/>
            <w:r>
              <w:rPr>
                <w:b w:val="0"/>
                <w:sz w:val="15"/>
              </w:rPr>
              <w:t>Sì</w:t>
            </w:r>
          </w:p>
        </w:tc>
        <w:tc>
          <w:tcPr>
            <w:tcW w:type="dxa" w:w="1584"/>
          </w:tcPr>
          <w:p>
            <w:pPr>
              <w:spacing w:after="0"/>
            </w:pPr>
            <w:r/>
            <w:r>
              <w:rPr>
                <w:b w:val="0"/>
                <w:sz w:val="15"/>
              </w:rPr>
              <w:t>No</w:t>
            </w:r>
          </w:p>
        </w:tc>
        <w:tc>
          <w:tcPr>
            <w:tcW w:type="dxa" w:w="4608"/>
          </w:tcPr>
          <w:p>
            <w:pPr>
              <w:spacing w:after="0"/>
            </w:pPr>
            <w:r/>
            <w:r>
              <w:rPr>
                <w:b w:val="0"/>
                <w:sz w:val="15"/>
              </w:rPr>
              <w:t>Media pesata e penalità se diverge.</w:t>
            </w:r>
          </w:p>
        </w:tc>
      </w:tr>
      <w:tr>
        <w:tc>
          <w:tcPr>
            <w:tcW w:type="dxa" w:w="2015"/>
          </w:tcPr>
          <w:p>
            <w:pPr>
              <w:spacing w:after="0"/>
            </w:pPr>
            <w:r/>
            <w:r>
              <w:rPr>
                <w:b w:val="0"/>
                <w:sz w:val="15"/>
              </w:rPr>
              <w:t>Sentiment polarity</w:t>
            </w:r>
          </w:p>
        </w:tc>
        <w:tc>
          <w:tcPr>
            <w:tcW w:type="dxa" w:w="1440"/>
          </w:tcPr>
          <w:p>
            <w:pPr>
              <w:spacing w:after="0"/>
            </w:pPr>
            <w:r/>
            <w:r>
              <w:rPr>
                <w:b w:val="0"/>
                <w:sz w:val="15"/>
              </w:rPr>
              <w:t>Sì</w:t>
            </w:r>
          </w:p>
        </w:tc>
        <w:tc>
          <w:tcPr>
            <w:tcW w:type="dxa" w:w="1440"/>
          </w:tcPr>
          <w:p>
            <w:pPr>
              <w:spacing w:after="0"/>
            </w:pPr>
            <w:r/>
            <w:r>
              <w:rPr>
                <w:b w:val="0"/>
                <w:sz w:val="15"/>
              </w:rPr>
              <w:t>Sì</w:t>
            </w:r>
          </w:p>
        </w:tc>
        <w:tc>
          <w:tcPr>
            <w:tcW w:type="dxa" w:w="1584"/>
          </w:tcPr>
          <w:p>
            <w:pPr>
              <w:spacing w:after="0"/>
            </w:pPr>
            <w:r/>
            <w:r>
              <w:rPr>
                <w:b w:val="0"/>
                <w:sz w:val="15"/>
              </w:rPr>
              <w:t>Sì</w:t>
            </w:r>
          </w:p>
        </w:tc>
        <w:tc>
          <w:tcPr>
            <w:tcW w:type="dxa" w:w="4608"/>
          </w:tcPr>
          <w:p>
            <w:pPr>
              <w:spacing w:after="0"/>
            </w:pPr>
            <w:r/>
            <w:r>
              <w:rPr>
                <w:b w:val="0"/>
                <w:sz w:val="15"/>
              </w:rPr>
              <w:t>FinBERT come auditor in caso di divergenza.</w:t>
            </w:r>
          </w:p>
        </w:tc>
      </w:tr>
      <w:tr>
        <w:tc>
          <w:tcPr>
            <w:tcW w:type="dxa" w:w="2015"/>
          </w:tcPr>
          <w:p>
            <w:pPr>
              <w:spacing w:after="0"/>
            </w:pPr>
            <w:r/>
            <w:r>
              <w:rPr>
                <w:b w:val="0"/>
                <w:sz w:val="15"/>
              </w:rPr>
              <w:t>Buy/Sell</w:t>
            </w:r>
          </w:p>
        </w:tc>
        <w:tc>
          <w:tcPr>
            <w:tcW w:type="dxa" w:w="1440"/>
          </w:tcPr>
          <w:p>
            <w:pPr>
              <w:spacing w:after="0"/>
            </w:pPr>
            <w:r/>
            <w:r>
              <w:rPr>
                <w:b w:val="0"/>
                <w:sz w:val="15"/>
              </w:rPr>
              <w:t>No diretto</w:t>
            </w:r>
          </w:p>
        </w:tc>
        <w:tc>
          <w:tcPr>
            <w:tcW w:type="dxa" w:w="1440"/>
          </w:tcPr>
          <w:p>
            <w:pPr>
              <w:spacing w:after="0"/>
            </w:pPr>
            <w:r/>
            <w:r>
              <w:rPr>
                <w:b w:val="0"/>
                <w:sz w:val="15"/>
              </w:rPr>
              <w:t>No diretto</w:t>
            </w:r>
          </w:p>
        </w:tc>
        <w:tc>
          <w:tcPr>
            <w:tcW w:type="dxa" w:w="1584"/>
          </w:tcPr>
          <w:p>
            <w:pPr>
              <w:spacing w:after="0"/>
            </w:pPr>
            <w:r/>
            <w:r>
              <w:rPr>
                <w:b w:val="0"/>
                <w:sz w:val="15"/>
              </w:rPr>
              <w:t>No</w:t>
            </w:r>
          </w:p>
        </w:tc>
        <w:tc>
          <w:tcPr>
            <w:tcW w:type="dxa" w:w="4608"/>
          </w:tcPr>
          <w:p>
            <w:pPr>
              <w:spacing w:after="0"/>
            </w:pPr>
            <w:r/>
            <w:r>
              <w:rPr>
                <w:b w:val="0"/>
                <w:sz w:val="15"/>
              </w:rPr>
              <w:t>Trading engine/risk engine decide.</w:t>
            </w:r>
          </w:p>
        </w:tc>
      </w:tr>
    </w:tbl>
    <w:p>
      <w:pPr>
        <w:spacing w:after="0"/>
      </w:pPr>
    </w:p>
    <w:p>
      <w:pPr>
        <w:pStyle w:val="Heading2"/>
      </w:pPr>
      <w:r>
        <w:t>6.1 Kimi K2.6</w:t>
      </w:r>
    </w:p>
    <w:p>
      <w:r>
        <w:t>Dalla documentazione Kimi/Moonshot consultata, Kimi K2.6 supporta contesto lungo da 256K token e tool calling. Nel tuo workflow è utile per estrazione strutturata, reasoning sull'evento e produzione di evidence sentences. Va usato con JSON schema rigido e temperatura bassa per minimizzare variazioni non necessarie.</w:t>
      </w:r>
    </w:p>
    <w:p>
      <w:pPr>
        <w:pStyle w:val="Heading2"/>
      </w:pPr>
      <w:r>
        <w:t>6.2 GLM-5.2</w:t>
      </w:r>
    </w:p>
    <w:p>
      <w:r>
        <w:t>La documentazione Z.ai presenta GLM-5.2 come modello con contesto fino a 1M token e orientamento a long-horizon tasks. Nel tuo caso può essere il modello principale per pacchetti lunghi di news, transcript, filing o contesto multi-documento. Per singole news brevi, il vantaggio del contesto lungo è meno rilevante del controllo di schema e dell'affidabilità del resolver.</w:t>
      </w:r>
    </w:p>
    <w:p>
      <w:pPr>
        <w:pStyle w:val="Heading2"/>
      </w:pPr>
      <w:r>
        <w:t>6.3 FinBERT locale</w:t>
      </w:r>
    </w:p>
    <w:p>
      <w:r>
        <w:t>FinBERT è utile perché nasce per NLP finanziario e sentiment analysis. Il suo ruolo migliore in Alembic è auditor locale del sentiment: se Kimi e GLM divergono sulla polarità, si passa a FinBERT solo il titolo, il summary e le evidence sentences rilevanti per quel ticker. Non deve ricevere l'intero articolo se contiene più emittenti o temi non pertinenti.</w:t>
      </w:r>
    </w:p>
    <w:tbl>
      <w:tblPr>
        <w:tblW w:type="auto" w:w="0"/>
        <w:jc w:val="center"/>
        <w:tblLayout w:type="autofit"/>
        <w:tblLook w:firstColumn="1" w:firstRow="1" w:lastColumn="0" w:lastRow="0" w:noHBand="0" w:noVBand="1" w:val="04A0"/>
      </w:tblPr>
      <w:tblGrid>
        <w:gridCol w:w="10224"/>
      </w:tblGrid>
      <w:tr>
        <w:tc>
          <w:tcPr>
            <w:tcW w:type="dxa" w:w="10224"/>
            <w:shd w:fill="E2F0D9"/>
            <w:vAlign w:val="center"/>
          </w:tcPr>
          <w:p>
            <w:pPr>
              <w:spacing w:after="80"/>
            </w:pPr>
            <w:r>
              <w:rPr>
                <w:b/>
                <w:sz w:val="20"/>
              </w:rPr>
              <w:t>Regola pratica</w:t>
            </w:r>
          </w:p>
          <w:p>
            <w:pPr>
              <w:spacing w:after="0"/>
            </w:pPr>
            <w:r>
              <w:rPr>
                <w:sz w:val="18"/>
              </w:rPr>
              <w:t>FinBERT deve rispondere alla domanda: questa frase è positiva, negativa o neutra per l'emittente X? Non deve rispondere alla domanda: quale ticker devo tradare?</w:t>
            </w:r>
          </w:p>
        </w:tc>
      </w:tr>
    </w:tbl>
    <w:p>
      <w:r>
        <w:br w:type="page"/>
      </w:r>
    </w:p>
    <w:p>
      <w:pPr>
        <w:pStyle w:val="Heading1"/>
      </w:pPr>
      <w:r>
        <w:t>7. Reconciliation e regole di voto</w:t>
      </w:r>
    </w:p>
    <w:p>
      <w:r>
        <w:t>Il reconciler deve trattare divergenze diverse in modo diverso. Una divergenza sul ticker deve bloccare o passare al resolver. Una divergenza sul sentiment può essere risolta da FinBERT. Una divergenza sul buy/sell non deve esistere: i modelli non devono produrre buy/sell, ma solo feature del segnale.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shd w:fill="1F4E79"/>
          </w:tcPr>
          <w:p>
            <w:pPr>
              <w:spacing w:after="0"/>
            </w:pPr>
            <w:r>
              <w:rPr>
                <w:color w:val="FFFFFF"/>
              </w:rPr>
            </w:r>
            <w:r>
              <w:rPr>
                <w:b/>
                <w:color w:val="FFFFFF"/>
                <w:sz w:val="16"/>
              </w:rPr>
              <w:t>Divergenza</w:t>
            </w:r>
          </w:p>
        </w:tc>
        <w:tc>
          <w:tcPr>
            <w:tcW w:type="dxa" w:w="3168"/>
            <w:shd w:fill="1F4E79"/>
          </w:tcPr>
          <w:p>
            <w:pPr>
              <w:spacing w:after="0"/>
            </w:pPr>
            <w:r>
              <w:rPr>
                <w:color w:val="FFFFFF"/>
              </w:rPr>
            </w:r>
            <w:r>
              <w:rPr>
                <w:b/>
                <w:color w:val="FFFFFF"/>
                <w:sz w:val="16"/>
              </w:rPr>
              <w:t>Arbitro</w:t>
            </w:r>
          </w:p>
        </w:tc>
        <w:tc>
          <w:tcPr>
            <w:tcW w:type="dxa" w:w="5184"/>
            <w:shd w:fill="1F4E79"/>
          </w:tcPr>
          <w:p>
            <w:pPr>
              <w:spacing w:after="0"/>
            </w:pPr>
            <w:r>
              <w:rPr>
                <w:color w:val="FFFFFF"/>
              </w:rPr>
            </w:r>
            <w:r>
              <w:rPr>
                <w:b/>
                <w:color w:val="FFFFFF"/>
                <w:sz w:val="16"/>
              </w:rPr>
              <w:t>Esito consigliato</w:t>
            </w:r>
          </w:p>
        </w:tc>
      </w:tr>
      <w:tr>
        <w:tc>
          <w:tcPr>
            <w:tcW w:type="dxa" w:w="2448"/>
          </w:tcPr>
          <w:p>
            <w:pPr>
              <w:spacing w:after="0"/>
            </w:pPr>
            <w:r/>
            <w:r>
              <w:rPr>
                <w:b w:val="0"/>
                <w:sz w:val="16"/>
              </w:rPr>
              <w:t>Ticker/company</w:t>
            </w:r>
          </w:p>
        </w:tc>
        <w:tc>
          <w:tcPr>
            <w:tcW w:type="dxa" w:w="3168"/>
          </w:tcPr>
          <w:p>
            <w:pPr>
              <w:spacing w:after="0"/>
            </w:pPr>
            <w:r/>
            <w:r>
              <w:rPr>
                <w:b w:val="0"/>
                <w:sz w:val="16"/>
              </w:rPr>
              <w:t>Resolver SEC/OpenFIGI/alias/broker</w:t>
            </w:r>
          </w:p>
        </w:tc>
        <w:tc>
          <w:tcPr>
            <w:tcW w:type="dxa" w:w="5184"/>
          </w:tcPr>
          <w:p>
            <w:pPr>
              <w:spacing w:after="0"/>
            </w:pPr>
            <w:r/>
            <w:r>
              <w:rPr>
                <w:b w:val="0"/>
                <w:sz w:val="16"/>
              </w:rPr>
              <w:t>Se non c'è vincitore chiaro: NO_TRADE.</w:t>
            </w:r>
          </w:p>
        </w:tc>
      </w:tr>
      <w:tr>
        <w:tc>
          <w:tcPr>
            <w:tcW w:type="dxa" w:w="2448"/>
          </w:tcPr>
          <w:p>
            <w:pPr>
              <w:spacing w:after="0"/>
            </w:pPr>
            <w:r/>
            <w:r>
              <w:rPr>
                <w:b w:val="0"/>
                <w:sz w:val="16"/>
              </w:rPr>
              <w:t>Exchange/strumento</w:t>
            </w:r>
          </w:p>
        </w:tc>
        <w:tc>
          <w:tcPr>
            <w:tcW w:type="dxa" w:w="3168"/>
          </w:tcPr>
          <w:p>
            <w:pPr>
              <w:spacing w:after="0"/>
            </w:pPr>
            <w:r/>
            <w:r>
              <w:rPr>
                <w:b w:val="0"/>
                <w:sz w:val="16"/>
              </w:rPr>
              <w:t>Resolver + broker tradability</w:t>
            </w:r>
          </w:p>
        </w:tc>
        <w:tc>
          <w:tcPr>
            <w:tcW w:type="dxa" w:w="5184"/>
          </w:tcPr>
          <w:p>
            <w:pPr>
              <w:spacing w:after="0"/>
            </w:pPr>
            <w:r/>
            <w:r>
              <w:rPr>
                <w:b w:val="0"/>
                <w:sz w:val="16"/>
              </w:rPr>
              <w:t>NO_TRADE se non tradabile o exchange ambiguo.</w:t>
            </w:r>
          </w:p>
        </w:tc>
      </w:tr>
      <w:tr>
        <w:tc>
          <w:tcPr>
            <w:tcW w:type="dxa" w:w="2448"/>
          </w:tcPr>
          <w:p>
            <w:pPr>
              <w:spacing w:after="0"/>
            </w:pPr>
            <w:r/>
            <w:r>
              <w:rPr>
                <w:b w:val="0"/>
                <w:sz w:val="16"/>
              </w:rPr>
              <w:t>Polarity</w:t>
            </w:r>
          </w:p>
        </w:tc>
        <w:tc>
          <w:tcPr>
            <w:tcW w:type="dxa" w:w="3168"/>
          </w:tcPr>
          <w:p>
            <w:pPr>
              <w:spacing w:after="0"/>
            </w:pPr>
            <w:r/>
            <w:r>
              <w:rPr>
                <w:b w:val="0"/>
                <w:sz w:val="16"/>
              </w:rPr>
              <w:t>FinBERT su evidence sentences</w:t>
            </w:r>
          </w:p>
        </w:tc>
        <w:tc>
          <w:tcPr>
            <w:tcW w:type="dxa" w:w="5184"/>
          </w:tcPr>
          <w:p>
            <w:pPr>
              <w:spacing w:after="0"/>
            </w:pPr>
            <w:r/>
            <w:r>
              <w:rPr>
                <w:b w:val="0"/>
                <w:sz w:val="16"/>
              </w:rPr>
              <w:t>Accetta majority/dampened score oppure NO_TRADE se tutti divergono.</w:t>
            </w:r>
          </w:p>
        </w:tc>
      </w:tr>
      <w:tr>
        <w:tc>
          <w:tcPr>
            <w:tcW w:type="dxa" w:w="2448"/>
          </w:tcPr>
          <w:p>
            <w:pPr>
              <w:spacing w:after="0"/>
            </w:pPr>
            <w:r/>
            <w:r>
              <w:rPr>
                <w:b w:val="0"/>
                <w:sz w:val="16"/>
              </w:rPr>
              <w:t>Materiality</w:t>
            </w:r>
          </w:p>
        </w:tc>
        <w:tc>
          <w:tcPr>
            <w:tcW w:type="dxa" w:w="3168"/>
          </w:tcPr>
          <w:p>
            <w:pPr>
              <w:spacing w:after="0"/>
            </w:pPr>
            <w:r/>
            <w:r>
              <w:rPr>
                <w:b w:val="0"/>
                <w:sz w:val="16"/>
              </w:rPr>
              <w:t>LLM judge o regole event_type</w:t>
            </w:r>
          </w:p>
        </w:tc>
        <w:tc>
          <w:tcPr>
            <w:tcW w:type="dxa" w:w="5184"/>
          </w:tcPr>
          <w:p>
            <w:pPr>
              <w:spacing w:after="0"/>
            </w:pPr>
            <w:r/>
            <w:r>
              <w:rPr>
                <w:b w:val="0"/>
                <w:sz w:val="16"/>
              </w:rPr>
              <w:t>Penalizza confidence; non usare FinBERT.</w:t>
            </w:r>
          </w:p>
        </w:tc>
      </w:tr>
      <w:tr>
        <w:tc>
          <w:tcPr>
            <w:tcW w:type="dxa" w:w="2448"/>
          </w:tcPr>
          <w:p>
            <w:pPr>
              <w:spacing w:after="0"/>
            </w:pPr>
            <w:r/>
            <w:r>
              <w:rPr>
                <w:b w:val="0"/>
                <w:sz w:val="16"/>
              </w:rPr>
              <w:t>Event type</w:t>
            </w:r>
          </w:p>
        </w:tc>
        <w:tc>
          <w:tcPr>
            <w:tcW w:type="dxa" w:w="3168"/>
          </w:tcPr>
          <w:p>
            <w:pPr>
              <w:spacing w:after="0"/>
            </w:pPr>
            <w:r/>
            <w:r>
              <w:rPr>
                <w:b w:val="0"/>
                <w:sz w:val="16"/>
              </w:rPr>
              <w:t>Tassonomia deterministica + LLM judge</w:t>
            </w:r>
          </w:p>
        </w:tc>
        <w:tc>
          <w:tcPr>
            <w:tcW w:type="dxa" w:w="5184"/>
          </w:tcPr>
          <w:p>
            <w:pPr>
              <w:spacing w:after="0"/>
            </w:pPr>
            <w:r/>
            <w:r>
              <w:rPr>
                <w:b w:val="0"/>
                <w:sz w:val="16"/>
              </w:rPr>
              <w:t>Se non chiaro, event_type=other e peso basso.</w:t>
            </w:r>
          </w:p>
        </w:tc>
      </w:tr>
      <w:tr>
        <w:tc>
          <w:tcPr>
            <w:tcW w:type="dxa" w:w="2448"/>
          </w:tcPr>
          <w:p>
            <w:pPr>
              <w:spacing w:after="0"/>
            </w:pPr>
            <w:r/>
            <w:r>
              <w:rPr>
                <w:b w:val="0"/>
                <w:sz w:val="16"/>
              </w:rPr>
              <w:t>Buy/Sell</w:t>
            </w:r>
          </w:p>
        </w:tc>
        <w:tc>
          <w:tcPr>
            <w:tcW w:type="dxa" w:w="3168"/>
          </w:tcPr>
          <w:p>
            <w:pPr>
              <w:spacing w:after="0"/>
            </w:pPr>
            <w:r/>
            <w:r>
              <w:rPr>
                <w:b w:val="0"/>
                <w:sz w:val="16"/>
              </w:rPr>
              <w:t>Trading engine</w:t>
            </w:r>
          </w:p>
        </w:tc>
        <w:tc>
          <w:tcPr>
            <w:tcW w:type="dxa" w:w="5184"/>
          </w:tcPr>
          <w:p>
            <w:pPr>
              <w:spacing w:after="0"/>
            </w:pPr>
            <w:r/>
            <w:r>
              <w:rPr>
                <w:b w:val="0"/>
                <w:sz w:val="16"/>
              </w:rPr>
              <w:t>LLM non produce ordini o raccomandazioni dirette.</w:t>
            </w:r>
          </w:p>
        </w:tc>
      </w:tr>
    </w:tbl>
    <w:p>
      <w:pPr>
        <w:spacing w:after="0"/>
      </w:pPr>
    </w:p>
    <w:p>
      <w:pPr>
        <w:pStyle w:val="Heading2"/>
      </w:pPr>
      <w:r>
        <w:t>7.1 Logica di aggregazione sentiment</w:t>
      </w:r>
    </w:p>
    <w:p>
      <w:pPr>
        <w:spacing w:after="40"/>
      </w:pPr>
      <w:r>
        <w:rPr>
          <w:b/>
          <w:color w:val="505050"/>
          <w:sz w:val="18"/>
        </w:rPr>
        <w:t>Pseudo-codice</w:t>
      </w:r>
    </w:p>
    <w:p>
      <w:pPr>
        <w:pStyle w:val="CodeBlock"/>
      </w:pPr>
      <w:r>
        <w:rPr>
          <w:rFonts w:ascii="Courier New" w:hAnsi="Courier New" w:eastAsia="Courier New"/>
          <w:sz w:val="16"/>
        </w:rPr>
        <w:t>kimi_score = polarity * confidence * materiality</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glm_score = polarity * confidence * materiality</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if sign(kimi_score) == sign(glm_score):</w:t>
      </w:r>
    </w:p>
    <w:p>
      <w:pPr>
        <w:pStyle w:val="CodeBlock"/>
      </w:pPr>
      <w:r>
        <w:rPr>
          <w:rFonts w:ascii="Courier New" w:hAnsi="Courier New" w:eastAsia="Courier New"/>
          <w:sz w:val="16"/>
        </w:rPr>
        <w:t xml:space="preserve">    llm_consensus = weighted_average(kimi_score, glm_score)</w:t>
      </w:r>
    </w:p>
    <w:p>
      <w:pPr>
        <w:pStyle w:val="CodeBlock"/>
      </w:pPr>
      <w:r>
        <w:rPr>
          <w:rFonts w:ascii="Courier New" w:hAnsi="Courier New" w:eastAsia="Courier New"/>
          <w:sz w:val="16"/>
        </w:rPr>
        <w:t xml:space="preserve">    if abs(kimi_score - glm_score) &lt; 0.25:</w:t>
      </w:r>
    </w:p>
    <w:p>
      <w:pPr>
        <w:pStyle w:val="CodeBlock"/>
      </w:pPr>
      <w:r>
        <w:rPr>
          <w:rFonts w:ascii="Courier New" w:hAnsi="Courier New" w:eastAsia="Courier New"/>
          <w:sz w:val="16"/>
        </w:rPr>
        <w:t xml:space="preserve">        final_sentiment = llm_consensus</w:t>
      </w:r>
    </w:p>
    <w:p>
      <w:pPr>
        <w:pStyle w:val="CodeBlock"/>
      </w:pPr>
      <w:r>
        <w:rPr>
          <w:rFonts w:ascii="Courier New" w:hAnsi="Courier New" w:eastAsia="Courier New"/>
          <w:sz w:val="16"/>
        </w:rPr>
        <w:t xml:space="preserve">    else:</w:t>
      </w:r>
    </w:p>
    <w:p>
      <w:pPr>
        <w:pStyle w:val="CodeBlock"/>
      </w:pPr>
      <w:r>
        <w:rPr>
          <w:rFonts w:ascii="Courier New" w:hAnsi="Courier New" w:eastAsia="Courier New"/>
          <w:sz w:val="16"/>
        </w:rPr>
        <w:t xml:space="preserve">        finbert_score = run_finbert(evidence_sentences)</w:t>
      </w:r>
    </w:p>
    <w:p>
      <w:pPr>
        <w:pStyle w:val="CodeBlock"/>
      </w:pPr>
      <w:r>
        <w:rPr>
          <w:rFonts w:ascii="Courier New" w:hAnsi="Courier New" w:eastAsia="Courier New"/>
          <w:sz w:val="16"/>
        </w:rPr>
        <w:t xml:space="preserve">        final_sentiment = 0.70 * llm_consensus + 0.30 * finbert_score</w:t>
      </w:r>
    </w:p>
    <w:p>
      <w:pPr>
        <w:pStyle w:val="CodeBlock"/>
      </w:pPr>
      <w:r>
        <w:rPr>
          <w:rFonts w:ascii="Courier New" w:hAnsi="Courier New" w:eastAsia="Courier New"/>
          <w:sz w:val="16"/>
        </w:rPr>
        <w:t>else:</w:t>
      </w:r>
    </w:p>
    <w:p>
      <w:pPr>
        <w:pStyle w:val="CodeBlock"/>
      </w:pPr>
      <w:r>
        <w:rPr>
          <w:rFonts w:ascii="Courier New" w:hAnsi="Courier New" w:eastAsia="Courier New"/>
          <w:sz w:val="16"/>
        </w:rPr>
        <w:t xml:space="preserve">    finbert_score = run_finbert(evidence_sentences)</w:t>
      </w:r>
    </w:p>
    <w:p>
      <w:pPr>
        <w:pStyle w:val="CodeBlock"/>
      </w:pPr>
      <w:r>
        <w:rPr>
          <w:rFonts w:ascii="Courier New" w:hAnsi="Courier New" w:eastAsia="Courier New"/>
          <w:sz w:val="16"/>
        </w:rPr>
        <w:t xml:space="preserve">    if sign(finbert_score) agrees with one LLM:</w:t>
      </w:r>
    </w:p>
    <w:p>
      <w:pPr>
        <w:pStyle w:val="CodeBlock"/>
      </w:pPr>
      <w:r>
        <w:rPr>
          <w:rFonts w:ascii="Courier New" w:hAnsi="Courier New" w:eastAsia="Courier New"/>
          <w:sz w:val="16"/>
        </w:rPr>
        <w:t xml:space="preserve">        final_sentiment = dampened_score</w:t>
      </w:r>
    </w:p>
    <w:p>
      <w:pPr>
        <w:pStyle w:val="CodeBlock"/>
      </w:pPr>
      <w:r>
        <w:rPr>
          <w:rFonts w:ascii="Courier New" w:hAnsi="Courier New" w:eastAsia="Courier New"/>
          <w:sz w:val="16"/>
        </w:rPr>
        <w:t xml:space="preserve">    else:</w:t>
      </w:r>
    </w:p>
    <w:p>
      <w:pPr>
        <w:pStyle w:val="CodeBlock"/>
      </w:pPr>
      <w:r>
        <w:rPr>
          <w:rFonts w:ascii="Courier New" w:hAnsi="Courier New" w:eastAsia="Courier New"/>
          <w:sz w:val="16"/>
        </w:rPr>
        <w:t xml:space="preserve">        final_sentiment = 0</w:t>
      </w:r>
    </w:p>
    <w:p>
      <w:pPr>
        <w:pStyle w:val="CodeBlock"/>
      </w:pPr>
      <w:r>
        <w:rPr>
          <w:rFonts w:ascii="Courier New" w:hAnsi="Courier New" w:eastAsia="Courier New"/>
          <w:sz w:val="16"/>
        </w:rPr>
        <w:t xml:space="preserve">        decision = "NO_TRADE_DIVERGENT_SENTIMENT"</w:t>
      </w:r>
    </w:p>
    <w:p>
      <w:pPr>
        <w:pStyle w:val="Heading2"/>
      </w:pPr>
      <w:r>
        <w:t>7.2 Penalità di confidence</w:t>
      </w:r>
    </w:p>
    <w:tbl>
      <w:tblPr>
        <w:tblStyle w:val="TableGrid"/>
        <w:tblW w:type="auto" w:w="0"/>
        <w:jc w:val="center"/>
        <w:tblLayout w:type="autofit"/>
        <w:tblLook w:firstColumn="1" w:firstRow="1" w:lastColumn="0" w:lastRow="0" w:noHBand="0" w:noVBand="1" w:val="04A0"/>
      </w:tblPr>
      <w:tblGrid>
        <w:gridCol w:w="5112"/>
        <w:gridCol w:w="5112"/>
      </w:tblGrid>
      <w:tr>
        <w:tc>
          <w:tcPr>
            <w:tcW w:type="dxa" w:w="6768"/>
            <w:shd w:fill="1F4E79"/>
          </w:tcPr>
          <w:p>
            <w:pPr>
              <w:spacing w:after="0"/>
            </w:pPr>
            <w:r>
              <w:rPr>
                <w:color w:val="FFFFFF"/>
              </w:rPr>
            </w:r>
            <w:r>
              <w:rPr>
                <w:b/>
                <w:color w:val="FFFFFF"/>
                <w:sz w:val="16"/>
              </w:rPr>
              <w:t>Scenario</w:t>
            </w:r>
          </w:p>
        </w:tc>
        <w:tc>
          <w:tcPr>
            <w:tcW w:type="dxa" w:w="3600"/>
            <w:shd w:fill="1F4E79"/>
          </w:tcPr>
          <w:p>
            <w:pPr>
              <w:spacing w:after="0"/>
            </w:pPr>
            <w:r>
              <w:rPr>
                <w:color w:val="FFFFFF"/>
              </w:rPr>
            </w:r>
            <w:r>
              <w:rPr>
                <w:b/>
                <w:color w:val="FFFFFF"/>
                <w:sz w:val="16"/>
              </w:rPr>
              <w:t>Penalty</w:t>
            </w:r>
          </w:p>
        </w:tc>
      </w:tr>
      <w:tr>
        <w:tc>
          <w:tcPr>
            <w:tcW w:type="dxa" w:w="6768"/>
          </w:tcPr>
          <w:p>
            <w:pPr>
              <w:spacing w:after="0"/>
            </w:pPr>
            <w:r/>
            <w:r>
              <w:rPr>
                <w:b w:val="0"/>
                <w:sz w:val="16"/>
              </w:rPr>
              <w:t>Kimi e GLM stesso segno, score vicini</w:t>
            </w:r>
          </w:p>
        </w:tc>
        <w:tc>
          <w:tcPr>
            <w:tcW w:type="dxa" w:w="3600"/>
          </w:tcPr>
          <w:p>
            <w:pPr>
              <w:spacing w:after="0"/>
            </w:pPr>
            <w:r/>
            <w:r>
              <w:rPr>
                <w:b w:val="0"/>
                <w:sz w:val="16"/>
              </w:rPr>
              <w:t>x1.00</w:t>
            </w:r>
          </w:p>
        </w:tc>
      </w:tr>
      <w:tr>
        <w:tc>
          <w:tcPr>
            <w:tcW w:type="dxa" w:w="6768"/>
          </w:tcPr>
          <w:p>
            <w:pPr>
              <w:spacing w:after="0"/>
            </w:pPr>
            <w:r/>
            <w:r>
              <w:rPr>
                <w:b w:val="0"/>
                <w:sz w:val="16"/>
              </w:rPr>
              <w:t>Kimi e GLM stesso segno, score lontani</w:t>
            </w:r>
          </w:p>
        </w:tc>
        <w:tc>
          <w:tcPr>
            <w:tcW w:type="dxa" w:w="3600"/>
          </w:tcPr>
          <w:p>
            <w:pPr>
              <w:spacing w:after="0"/>
            </w:pPr>
            <w:r/>
            <w:r>
              <w:rPr>
                <w:b w:val="0"/>
                <w:sz w:val="16"/>
              </w:rPr>
              <w:t>x0.75</w:t>
            </w:r>
          </w:p>
        </w:tc>
      </w:tr>
      <w:tr>
        <w:tc>
          <w:tcPr>
            <w:tcW w:type="dxa" w:w="6768"/>
          </w:tcPr>
          <w:p>
            <w:pPr>
              <w:spacing w:after="0"/>
            </w:pPr>
            <w:r/>
            <w:r>
              <w:rPr>
                <w:b w:val="0"/>
                <w:sz w:val="16"/>
              </w:rPr>
              <w:t>Kimi/GLM segno opposto, FinBERT concorda con uno</w:t>
            </w:r>
          </w:p>
        </w:tc>
        <w:tc>
          <w:tcPr>
            <w:tcW w:type="dxa" w:w="3600"/>
          </w:tcPr>
          <w:p>
            <w:pPr>
              <w:spacing w:after="0"/>
            </w:pPr>
            <w:r/>
            <w:r>
              <w:rPr>
                <w:b w:val="0"/>
                <w:sz w:val="16"/>
              </w:rPr>
              <w:t>x0.45-x0.60</w:t>
            </w:r>
          </w:p>
        </w:tc>
      </w:tr>
      <w:tr>
        <w:tc>
          <w:tcPr>
            <w:tcW w:type="dxa" w:w="6768"/>
          </w:tcPr>
          <w:p>
            <w:pPr>
              <w:spacing w:after="0"/>
            </w:pPr>
            <w:r/>
            <w:r>
              <w:rPr>
                <w:b w:val="0"/>
                <w:sz w:val="16"/>
              </w:rPr>
              <w:t>Kimi, GLM e FinBERT divergono</w:t>
            </w:r>
          </w:p>
        </w:tc>
        <w:tc>
          <w:tcPr>
            <w:tcW w:type="dxa" w:w="3600"/>
          </w:tcPr>
          <w:p>
            <w:pPr>
              <w:spacing w:after="0"/>
            </w:pPr>
            <w:r/>
            <w:r>
              <w:rPr>
                <w:b w:val="0"/>
                <w:sz w:val="16"/>
              </w:rPr>
              <w:t>x0.00 / NO_TRADE</w:t>
            </w:r>
          </w:p>
        </w:tc>
      </w:tr>
      <w:tr>
        <w:tc>
          <w:tcPr>
            <w:tcW w:type="dxa" w:w="6768"/>
          </w:tcPr>
          <w:p>
            <w:pPr>
              <w:spacing w:after="0"/>
            </w:pPr>
            <w:r/>
            <w:r>
              <w:rPr>
                <w:b w:val="0"/>
                <w:sz w:val="16"/>
              </w:rPr>
              <w:t>Ticker ambiguity margin bassa</w:t>
            </w:r>
          </w:p>
        </w:tc>
        <w:tc>
          <w:tcPr>
            <w:tcW w:type="dxa" w:w="3600"/>
          </w:tcPr>
          <w:p>
            <w:pPr>
              <w:spacing w:after="0"/>
            </w:pPr>
            <w:r/>
            <w:r>
              <w:rPr>
                <w:b w:val="0"/>
                <w:sz w:val="16"/>
              </w:rPr>
              <w:t>Hard NO_TRADE</w:t>
            </w:r>
          </w:p>
        </w:tc>
      </w:tr>
    </w:tbl>
    <w:p>
      <w:pPr>
        <w:spacing w:after="0"/>
      </w:pPr>
    </w:p>
    <w:p>
      <w:r>
        <w:br w:type="page"/>
      </w:r>
    </w:p>
    <w:p>
      <w:pPr>
        <w:pStyle w:val="Heading1"/>
      </w:pPr>
      <w:r>
        <w:t>8. Schema dati, Redis e persistence</w:t>
      </w:r>
    </w:p>
    <w:p>
      <w:r>
        <w:t>Per debugging, backtest e auto-improve, è essenziale salvare componenti separate invece di salvare solo lo score finale. In particolare bisogna sapere se un trade deriva da alta materialità, alta novelty, fonte affidabile o semplice consenso dei modelli.</w:t>
      </w:r>
    </w:p>
    <w:p>
      <w:pPr>
        <w:pStyle w:val="Heading2"/>
      </w:pPr>
      <w:r>
        <w:t>8.1 Payload Redis consigliato</w:t>
      </w:r>
    </w:p>
    <w:p>
      <w:pPr>
        <w:spacing w:after="40"/>
      </w:pPr>
      <w:r>
        <w:rPr>
          <w:b/>
          <w:color w:val="505050"/>
          <w:sz w:val="18"/>
        </w:rPr>
        <w:t>Payload</w:t>
      </w:r>
    </w:p>
    <w:p>
      <w:pPr>
        <w:pStyle w:val="CodeBlock"/>
      </w:pPr>
      <w:r>
        <w:rPr>
          <w:rFonts w:ascii="Courier New" w:hAnsi="Courier New" w:eastAsia="Courier New"/>
          <w:sz w:val="16"/>
        </w:rPr>
        <w:t>Redis key: signal:{symbol}:sentiment</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w:t>
      </w:r>
    </w:p>
    <w:p>
      <w:pPr>
        <w:pStyle w:val="CodeBlock"/>
      </w:pPr>
      <w:r>
        <w:rPr>
          <w:rFonts w:ascii="Courier New" w:hAnsi="Courier New" w:eastAsia="Courier New"/>
          <w:sz w:val="16"/>
        </w:rPr>
        <w:t xml:space="preserve">  "symbol": "AAPL",</w:t>
      </w:r>
    </w:p>
    <w:p>
      <w:pPr>
        <w:pStyle w:val="CodeBlock"/>
      </w:pPr>
      <w:r>
        <w:rPr>
          <w:rFonts w:ascii="Courier New" w:hAnsi="Courier New" w:eastAsia="Courier New"/>
          <w:sz w:val="16"/>
        </w:rPr>
        <w:t xml:space="preserve">  "score": 0.42,</w:t>
      </w:r>
    </w:p>
    <w:p>
      <w:pPr>
        <w:pStyle w:val="CodeBlock"/>
      </w:pPr>
      <w:r>
        <w:rPr>
          <w:rFonts w:ascii="Courier New" w:hAnsi="Courier New" w:eastAsia="Courier New"/>
          <w:sz w:val="16"/>
        </w:rPr>
        <w:t xml:space="preserve">  "ts": "2026-06-29T14:15:00Z",</w:t>
      </w:r>
    </w:p>
    <w:p>
      <w:pPr>
        <w:pStyle w:val="CodeBlock"/>
      </w:pPr>
      <w:r>
        <w:rPr>
          <w:rFonts w:ascii="Courier New" w:hAnsi="Courier New" w:eastAsia="Courier New"/>
          <w:sz w:val="16"/>
        </w:rPr>
        <w:t xml:space="preserve">  "model_id": "kimi_glm_finbert_v2",</w:t>
      </w:r>
    </w:p>
    <w:p>
      <w:pPr>
        <w:pStyle w:val="CodeBlock"/>
      </w:pPr>
      <w:r>
        <w:rPr>
          <w:rFonts w:ascii="Courier New" w:hAnsi="Courier New" w:eastAsia="Courier New"/>
          <w:sz w:val="16"/>
        </w:rPr>
        <w:t xml:space="preserve">  "news_id": "abc123",</w:t>
      </w:r>
    </w:p>
    <w:p>
      <w:pPr>
        <w:pStyle w:val="CodeBlock"/>
      </w:pPr>
      <w:r>
        <w:rPr>
          <w:rFonts w:ascii="Courier New" w:hAnsi="Courier New" w:eastAsia="Courier New"/>
          <w:sz w:val="16"/>
        </w:rPr>
        <w:t xml:space="preserve">  "event_type": "guidance_revision",</w:t>
      </w:r>
    </w:p>
    <w:p>
      <w:pPr>
        <w:pStyle w:val="CodeBlock"/>
      </w:pPr>
      <w:r>
        <w:rPr>
          <w:rFonts w:ascii="Courier New" w:hAnsi="Courier New" w:eastAsia="Courier New"/>
          <w:sz w:val="16"/>
        </w:rPr>
        <w:t xml:space="preserve">  "resolution_confidence": 0.96,</w:t>
      </w:r>
    </w:p>
    <w:p>
      <w:pPr>
        <w:pStyle w:val="CodeBlock"/>
      </w:pPr>
      <w:r>
        <w:rPr>
          <w:rFonts w:ascii="Courier New" w:hAnsi="Courier New" w:eastAsia="Courier New"/>
          <w:sz w:val="16"/>
        </w:rPr>
        <w:t xml:space="preserve">  "ticker_resolution_method": "source+alias+sec+openfigi",</w:t>
      </w:r>
    </w:p>
    <w:p>
      <w:pPr>
        <w:pStyle w:val="CodeBlock"/>
      </w:pPr>
      <w:r>
        <w:rPr>
          <w:rFonts w:ascii="Courier New" w:hAnsi="Courier New" w:eastAsia="Courier New"/>
          <w:sz w:val="16"/>
        </w:rPr>
        <w:t xml:space="preserve">  "directness": "direct",</w:t>
      </w:r>
    </w:p>
    <w:p>
      <w:pPr>
        <w:pStyle w:val="CodeBlock"/>
      </w:pPr>
      <w:r>
        <w:rPr>
          <w:rFonts w:ascii="Courier New" w:hAnsi="Courier New" w:eastAsia="Courier New"/>
          <w:sz w:val="16"/>
        </w:rPr>
        <w:t xml:space="preserve">  "polarity": 0.72,</w:t>
      </w:r>
    </w:p>
    <w:p>
      <w:pPr>
        <w:pStyle w:val="CodeBlock"/>
      </w:pPr>
      <w:r>
        <w:rPr>
          <w:rFonts w:ascii="Courier New" w:hAnsi="Courier New" w:eastAsia="Courier New"/>
          <w:sz w:val="16"/>
        </w:rPr>
        <w:t xml:space="preserve">  "confidence": 0.81,</w:t>
      </w:r>
    </w:p>
    <w:p>
      <w:pPr>
        <w:pStyle w:val="CodeBlock"/>
      </w:pPr>
      <w:r>
        <w:rPr>
          <w:rFonts w:ascii="Courier New" w:hAnsi="Courier New" w:eastAsia="Courier New"/>
          <w:sz w:val="16"/>
        </w:rPr>
        <w:t xml:space="preserve">  "materiality": 0.77,</w:t>
      </w:r>
    </w:p>
    <w:p>
      <w:pPr>
        <w:pStyle w:val="CodeBlock"/>
      </w:pPr>
      <w:r>
        <w:rPr>
          <w:rFonts w:ascii="Courier New" w:hAnsi="Courier New" w:eastAsia="Courier New"/>
          <w:sz w:val="16"/>
        </w:rPr>
        <w:t xml:space="preserve">  "novelty": 0.65,</w:t>
      </w:r>
    </w:p>
    <w:p>
      <w:pPr>
        <w:pStyle w:val="CodeBlock"/>
      </w:pPr>
      <w:r>
        <w:rPr>
          <w:rFonts w:ascii="Courier New" w:hAnsi="Courier New" w:eastAsia="Courier New"/>
          <w:sz w:val="16"/>
        </w:rPr>
        <w:t xml:space="preserve">  "source_quality": 0.90,</w:t>
      </w:r>
    </w:p>
    <w:p>
      <w:pPr>
        <w:pStyle w:val="CodeBlock"/>
      </w:pPr>
      <w:r>
        <w:rPr>
          <w:rFonts w:ascii="Courier New" w:hAnsi="Courier New" w:eastAsia="Courier New"/>
          <w:sz w:val="16"/>
        </w:rPr>
        <w:t xml:space="preserve">  "risk_flags": ["check_premarket_move"]</w:t>
      </w:r>
    </w:p>
    <w:p>
      <w:pPr>
        <w:pStyle w:val="CodeBlock"/>
      </w:pPr>
      <w:r>
        <w:rPr>
          <w:rFonts w:ascii="Courier New" w:hAnsi="Courier New" w:eastAsia="Courier New"/>
          <w:sz w:val="16"/>
        </w:rPr>
        <w:t>}</w:t>
      </w:r>
    </w:p>
    <w:p>
      <w:pPr>
        <w:pStyle w:val="Heading2"/>
      </w:pPr>
      <w:r>
        <w:t>8.2 Tabelle consigliate</w:t>
      </w:r>
    </w:p>
    <w:p>
      <w:pPr>
        <w:spacing w:after="40"/>
      </w:pPr>
      <w:r>
        <w:rPr>
          <w:b/>
          <w:color w:val="505050"/>
          <w:sz w:val="18"/>
        </w:rPr>
        <w:t>SQL iniziale</w:t>
      </w:r>
    </w:p>
    <w:p>
      <w:pPr>
        <w:pStyle w:val="CodeBlock"/>
      </w:pPr>
      <w:r>
        <w:rPr>
          <w:rFonts w:ascii="Courier New" w:hAnsi="Courier New" w:eastAsia="Courier New"/>
          <w:sz w:val="16"/>
        </w:rPr>
        <w:t>CREATE TABLE news_resolved_entities (</w:t>
      </w:r>
    </w:p>
    <w:p>
      <w:pPr>
        <w:pStyle w:val="CodeBlock"/>
      </w:pPr>
      <w:r>
        <w:rPr>
          <w:rFonts w:ascii="Courier New" w:hAnsi="Courier New" w:eastAsia="Courier New"/>
          <w:sz w:val="16"/>
        </w:rPr>
        <w:t xml:space="preserve">  news_id TEXT NOT NULL,</w:t>
      </w:r>
    </w:p>
    <w:p>
      <w:pPr>
        <w:pStyle w:val="CodeBlock"/>
      </w:pPr>
      <w:r>
        <w:rPr>
          <w:rFonts w:ascii="Courier New" w:hAnsi="Courier New" w:eastAsia="Courier New"/>
          <w:sz w:val="16"/>
        </w:rPr>
        <w:t xml:space="preserve">  symbol TEXT,</w:t>
      </w:r>
    </w:p>
    <w:p>
      <w:pPr>
        <w:pStyle w:val="CodeBlock"/>
      </w:pPr>
      <w:r>
        <w:rPr>
          <w:rFonts w:ascii="Courier New" w:hAnsi="Courier New" w:eastAsia="Courier New"/>
          <w:sz w:val="16"/>
        </w:rPr>
        <w:t xml:space="preserve">  company_name TEXT,</w:t>
      </w:r>
    </w:p>
    <w:p>
      <w:pPr>
        <w:pStyle w:val="CodeBlock"/>
      </w:pPr>
      <w:r>
        <w:rPr>
          <w:rFonts w:ascii="Courier New" w:hAnsi="Courier New" w:eastAsia="Courier New"/>
          <w:sz w:val="16"/>
        </w:rPr>
        <w:t xml:space="preserve">  cik TEXT,</w:t>
      </w:r>
    </w:p>
    <w:p>
      <w:pPr>
        <w:pStyle w:val="CodeBlock"/>
      </w:pPr>
      <w:r>
        <w:rPr>
          <w:rFonts w:ascii="Courier New" w:hAnsi="Courier New" w:eastAsia="Courier New"/>
          <w:sz w:val="16"/>
        </w:rPr>
        <w:t xml:space="preserve">  figi TEXT,</w:t>
      </w:r>
    </w:p>
    <w:p>
      <w:pPr>
        <w:pStyle w:val="CodeBlock"/>
      </w:pPr>
      <w:r>
        <w:rPr>
          <w:rFonts w:ascii="Courier New" w:hAnsi="Courier New" w:eastAsia="Courier New"/>
          <w:sz w:val="16"/>
        </w:rPr>
        <w:t xml:space="preserve">  exchange TEXT,</w:t>
      </w:r>
    </w:p>
    <w:p>
      <w:pPr>
        <w:pStyle w:val="CodeBlock"/>
      </w:pPr>
      <w:r>
        <w:rPr>
          <w:rFonts w:ascii="Courier New" w:hAnsi="Courier New" w:eastAsia="Courier New"/>
          <w:sz w:val="16"/>
        </w:rPr>
        <w:t xml:space="preserve">  directness TEXT,</w:t>
      </w:r>
    </w:p>
    <w:p>
      <w:pPr>
        <w:pStyle w:val="CodeBlock"/>
      </w:pPr>
      <w:r>
        <w:rPr>
          <w:rFonts w:ascii="Courier New" w:hAnsi="Courier New" w:eastAsia="Courier New"/>
          <w:sz w:val="16"/>
        </w:rPr>
        <w:t xml:space="preserve">  resolution_confidence DOUBLE PRECISION,</w:t>
      </w:r>
    </w:p>
    <w:p>
      <w:pPr>
        <w:pStyle w:val="CodeBlock"/>
      </w:pPr>
      <w:r>
        <w:rPr>
          <w:rFonts w:ascii="Courier New" w:hAnsi="Courier New" w:eastAsia="Courier New"/>
          <w:sz w:val="16"/>
        </w:rPr>
        <w:t xml:space="preserve">  ambiguity_margin DOUBLE PRECISION,</w:t>
      </w:r>
    </w:p>
    <w:p>
      <w:pPr>
        <w:pStyle w:val="CodeBlock"/>
      </w:pPr>
      <w:r>
        <w:rPr>
          <w:rFonts w:ascii="Courier New" w:hAnsi="Courier New" w:eastAsia="Courier New"/>
          <w:sz w:val="16"/>
        </w:rPr>
        <w:t xml:space="preserve">  tradable BOOLEAN,</w:t>
      </w:r>
    </w:p>
    <w:p>
      <w:pPr>
        <w:pStyle w:val="CodeBlock"/>
      </w:pPr>
      <w:r>
        <w:rPr>
          <w:rFonts w:ascii="Courier New" w:hAnsi="Courier New" w:eastAsia="Courier New"/>
          <w:sz w:val="16"/>
        </w:rPr>
        <w:t xml:space="preserve">  decision TEXT,</w:t>
      </w:r>
    </w:p>
    <w:p>
      <w:pPr>
        <w:pStyle w:val="CodeBlock"/>
      </w:pPr>
      <w:r>
        <w:rPr>
          <w:rFonts w:ascii="Courier New" w:hAnsi="Courier New" w:eastAsia="Courier New"/>
          <w:sz w:val="16"/>
        </w:rPr>
        <w:t xml:space="preserve">  evidence JSONB,</w:t>
      </w:r>
    </w:p>
    <w:p>
      <w:pPr>
        <w:pStyle w:val="CodeBlock"/>
      </w:pPr>
      <w:r>
        <w:rPr>
          <w:rFonts w:ascii="Courier New" w:hAnsi="Courier New" w:eastAsia="Courier New"/>
          <w:sz w:val="16"/>
        </w:rPr>
        <w:t xml:space="preserve">  created_at TIMESTAMPTZ DEFAULT now()</w:t>
      </w:r>
    </w:p>
    <w:p>
      <w:pPr>
        <w:pStyle w:val="CodeBlock"/>
      </w:pPr>
      <w:r>
        <w:rPr>
          <w:rFonts w:ascii="Courier New" w:hAnsi="Courier New" w:eastAsia="Courier New"/>
          <w:sz w:val="16"/>
        </w:rPr>
        <w:t>);</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CREATE TABLE sentiment_signal_components (</w:t>
      </w:r>
    </w:p>
    <w:p>
      <w:pPr>
        <w:pStyle w:val="CodeBlock"/>
      </w:pPr>
      <w:r>
        <w:rPr>
          <w:rFonts w:ascii="Courier New" w:hAnsi="Courier New" w:eastAsia="Courier New"/>
          <w:sz w:val="16"/>
        </w:rPr>
        <w:t xml:space="preserve">  news_id TEXT NOT NULL,</w:t>
      </w:r>
    </w:p>
    <w:p>
      <w:pPr>
        <w:pStyle w:val="CodeBlock"/>
      </w:pPr>
      <w:r>
        <w:rPr>
          <w:rFonts w:ascii="Courier New" w:hAnsi="Courier New" w:eastAsia="Courier New"/>
          <w:sz w:val="16"/>
        </w:rPr>
        <w:t xml:space="preserve">  symbol TEXT NOT NULL,</w:t>
      </w:r>
    </w:p>
    <w:p>
      <w:pPr>
        <w:pStyle w:val="CodeBlock"/>
      </w:pPr>
      <w:r>
        <w:rPr>
          <w:rFonts w:ascii="Courier New" w:hAnsi="Courier New" w:eastAsia="Courier New"/>
          <w:sz w:val="16"/>
        </w:rPr>
        <w:t xml:space="preserve">  kimi_polarity DOUBLE PRECISION,</w:t>
      </w:r>
    </w:p>
    <w:p>
      <w:pPr>
        <w:pStyle w:val="CodeBlock"/>
      </w:pPr>
      <w:r>
        <w:rPr>
          <w:rFonts w:ascii="Courier New" w:hAnsi="Courier New" w:eastAsia="Courier New"/>
          <w:sz w:val="16"/>
        </w:rPr>
        <w:t xml:space="preserve">  kimi_confidence DOUBLE PRECISION,</w:t>
      </w:r>
    </w:p>
    <w:p>
      <w:pPr>
        <w:pStyle w:val="CodeBlock"/>
      </w:pPr>
      <w:r>
        <w:rPr>
          <w:rFonts w:ascii="Courier New" w:hAnsi="Courier New" w:eastAsia="Courier New"/>
          <w:sz w:val="16"/>
        </w:rPr>
        <w:t xml:space="preserve">  kimi_materiality DOUBLE PRECISION,</w:t>
      </w:r>
    </w:p>
    <w:p>
      <w:pPr>
        <w:pStyle w:val="CodeBlock"/>
      </w:pPr>
      <w:r>
        <w:rPr>
          <w:rFonts w:ascii="Courier New" w:hAnsi="Courier New" w:eastAsia="Courier New"/>
          <w:sz w:val="16"/>
        </w:rPr>
        <w:t xml:space="preserve">  glm_polarity DOUBLE PRECISION,</w:t>
      </w:r>
    </w:p>
    <w:p>
      <w:pPr>
        <w:pStyle w:val="CodeBlock"/>
      </w:pPr>
      <w:r>
        <w:rPr>
          <w:rFonts w:ascii="Courier New" w:hAnsi="Courier New" w:eastAsia="Courier New"/>
          <w:sz w:val="16"/>
        </w:rPr>
        <w:t xml:space="preserve">  glm_confidence DOUBLE PRECISION,</w:t>
      </w:r>
    </w:p>
    <w:p>
      <w:pPr>
        <w:pStyle w:val="CodeBlock"/>
      </w:pPr>
      <w:r>
        <w:rPr>
          <w:rFonts w:ascii="Courier New" w:hAnsi="Courier New" w:eastAsia="Courier New"/>
          <w:sz w:val="16"/>
        </w:rPr>
        <w:t xml:space="preserve">  glm_materiality DOUBLE PRECISION,</w:t>
      </w:r>
    </w:p>
    <w:p>
      <w:pPr>
        <w:pStyle w:val="CodeBlock"/>
      </w:pPr>
      <w:r>
        <w:rPr>
          <w:rFonts w:ascii="Courier New" w:hAnsi="Courier New" w:eastAsia="Courier New"/>
          <w:sz w:val="16"/>
        </w:rPr>
        <w:t xml:space="preserve">  finbert_label TEXT,</w:t>
      </w:r>
    </w:p>
    <w:p>
      <w:pPr>
        <w:pStyle w:val="CodeBlock"/>
      </w:pPr>
      <w:r>
        <w:rPr>
          <w:rFonts w:ascii="Courier New" w:hAnsi="Courier New" w:eastAsia="Courier New"/>
          <w:sz w:val="16"/>
        </w:rPr>
        <w:t xml:space="preserve">  finbert_score DOUBLE PRECISION,</w:t>
      </w:r>
    </w:p>
    <w:p>
      <w:pPr>
        <w:pStyle w:val="CodeBlock"/>
      </w:pPr>
      <w:r>
        <w:rPr>
          <w:rFonts w:ascii="Courier New" w:hAnsi="Courier New" w:eastAsia="Courier New"/>
          <w:sz w:val="16"/>
        </w:rPr>
        <w:t xml:space="preserve">  finbert_confidence DOUBLE PRECISION,</w:t>
      </w:r>
    </w:p>
    <w:p>
      <w:pPr>
        <w:pStyle w:val="CodeBlock"/>
      </w:pPr>
      <w:r>
        <w:rPr>
          <w:rFonts w:ascii="Courier New" w:hAnsi="Courier New" w:eastAsia="Courier New"/>
          <w:sz w:val="16"/>
        </w:rPr>
        <w:t xml:space="preserve">  final_score DOUBLE PRECISION,</w:t>
      </w:r>
    </w:p>
    <w:p>
      <w:pPr>
        <w:pStyle w:val="CodeBlock"/>
      </w:pPr>
      <w:r>
        <w:rPr>
          <w:rFonts w:ascii="Courier New" w:hAnsi="Courier New" w:eastAsia="Courier New"/>
          <w:sz w:val="16"/>
        </w:rPr>
        <w:t xml:space="preserve">  final_decision TEXT,</w:t>
      </w:r>
    </w:p>
    <w:p>
      <w:pPr>
        <w:pStyle w:val="CodeBlock"/>
      </w:pPr>
      <w:r>
        <w:rPr>
          <w:rFonts w:ascii="Courier New" w:hAnsi="Courier New" w:eastAsia="Courier New"/>
          <w:sz w:val="16"/>
        </w:rPr>
        <w:t xml:space="preserve">  skip_reason TEXT,</w:t>
      </w:r>
    </w:p>
    <w:p>
      <w:pPr>
        <w:pStyle w:val="CodeBlock"/>
      </w:pPr>
      <w:r>
        <w:rPr>
          <w:rFonts w:ascii="Courier New" w:hAnsi="Courier New" w:eastAsia="Courier New"/>
          <w:sz w:val="16"/>
        </w:rPr>
        <w:t xml:space="preserve">  future_return_30m DOUBLE PRECISION,</w:t>
      </w:r>
    </w:p>
    <w:p>
      <w:pPr>
        <w:pStyle w:val="CodeBlock"/>
      </w:pPr>
      <w:r>
        <w:rPr>
          <w:rFonts w:ascii="Courier New" w:hAnsi="Courier New" w:eastAsia="Courier New"/>
          <w:sz w:val="16"/>
        </w:rPr>
        <w:t xml:space="preserve">  future_return_1h DOUBLE PRECISION,</w:t>
      </w:r>
    </w:p>
    <w:p>
      <w:pPr>
        <w:pStyle w:val="CodeBlock"/>
      </w:pPr>
      <w:r>
        <w:rPr>
          <w:rFonts w:ascii="Courier New" w:hAnsi="Courier New" w:eastAsia="Courier New"/>
          <w:sz w:val="16"/>
        </w:rPr>
        <w:t xml:space="preserve">  future_return_1d DOUBLE PRECISION,</w:t>
      </w:r>
    </w:p>
    <w:p>
      <w:pPr>
        <w:pStyle w:val="CodeBlock"/>
      </w:pPr>
      <w:r>
        <w:rPr>
          <w:rFonts w:ascii="Courier New" w:hAnsi="Courier New" w:eastAsia="Courier New"/>
          <w:sz w:val="16"/>
        </w:rPr>
        <w:t xml:space="preserve">  created_at TIMESTAMPTZ DEFAULT now()</w:t>
      </w:r>
    </w:p>
    <w:p>
      <w:pPr>
        <w:pStyle w:val="CodeBlock"/>
      </w:pPr>
      <w:r>
        <w:rPr>
          <w:rFonts w:ascii="Courier New" w:hAnsi="Courier New" w:eastAsia="Courier New"/>
          <w:sz w:val="16"/>
        </w:rPr>
        <w:t>);</w:t>
      </w:r>
    </w:p>
    <w:p>
      <w:pPr>
        <w:pStyle w:val="Heading2"/>
      </w:pPr>
      <w:r>
        <w:t>8.3 Nuovi gate nel portfolio cycle</w:t>
      </w:r>
    </w:p>
    <w:p>
      <w:pPr>
        <w:spacing w:after="40"/>
      </w:pPr>
      <w:r>
        <w:rPr>
          <w:b/>
          <w:color w:val="505050"/>
          <w:sz w:val="18"/>
        </w:rPr>
        <w:t>Portfolio cycle</w:t>
      </w:r>
    </w:p>
    <w:p>
      <w:pPr>
        <w:pStyle w:val="CodeBlock"/>
      </w:pPr>
      <w:r>
        <w:rPr>
          <w:rFonts w:ascii="Courier New" w:hAnsi="Courier New" w:eastAsia="Courier New"/>
          <w:sz w:val="16"/>
        </w:rPr>
        <w:t># Prima dei gate S4 esistenti</w:t>
      </w:r>
    </w:p>
    <w:p>
      <w:pPr>
        <w:pStyle w:val="CodeBlock"/>
      </w:pPr>
      <w:r>
        <w:rPr>
          <w:rFonts w:ascii="Courier New" w:hAnsi="Courier New" w:eastAsia="Courier New"/>
          <w:sz w:val="16"/>
        </w:rPr>
        <w:t>if signal.resolution_confidence &lt; 0.80:</w:t>
      </w:r>
    </w:p>
    <w:p>
      <w:pPr>
        <w:pStyle w:val="CodeBlock"/>
      </w:pPr>
      <w:r>
        <w:rPr>
          <w:rFonts w:ascii="Courier New" w:hAnsi="Courier New" w:eastAsia="Courier New"/>
          <w:sz w:val="16"/>
        </w:rPr>
        <w:t xml:space="preserve">    skip("LOW_RESOLUTION_CONFIDENCE")</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if signal.directness not in {"direct", "customer_supplier", "competitor_readthrough"}:</w:t>
      </w:r>
    </w:p>
    <w:p>
      <w:pPr>
        <w:pStyle w:val="CodeBlock"/>
      </w:pPr>
      <w:r>
        <w:rPr>
          <w:rFonts w:ascii="Courier New" w:hAnsi="Courier New" w:eastAsia="Courier New"/>
          <w:sz w:val="16"/>
        </w:rPr>
        <w:t xml:space="preserve">    skip("LOW_DIRECTNESS")</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 Gate S4 già esistenti</w:t>
      </w:r>
    </w:p>
    <w:p>
      <w:pPr>
        <w:pStyle w:val="CodeBlock"/>
      </w:pPr>
      <w:r>
        <w:rPr>
          <w:rFonts w:ascii="Courier New" w:hAnsi="Courier New" w:eastAsia="Courier New"/>
          <w:sz w:val="16"/>
        </w:rPr>
        <w:t>if signal.score &lt; ENTRY_THRESHOLD:</w:t>
      </w:r>
    </w:p>
    <w:p>
      <w:pPr>
        <w:pStyle w:val="CodeBlock"/>
      </w:pPr>
      <w:r>
        <w:rPr>
          <w:rFonts w:ascii="Courier New" w:hAnsi="Courier New" w:eastAsia="Courier New"/>
          <w:sz w:val="16"/>
        </w:rPr>
        <w:t xml:space="preserve">    skip("LOW_SCORE")</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if price &lt; EMA20:</w:t>
      </w:r>
    </w:p>
    <w:p>
      <w:pPr>
        <w:pStyle w:val="CodeBlock"/>
      </w:pPr>
      <w:r>
        <w:rPr>
          <w:rFonts w:ascii="Courier New" w:hAnsi="Courier New" w:eastAsia="Courier New"/>
          <w:sz w:val="16"/>
        </w:rPr>
        <w:t xml:space="preserve">    skip("SKIP_EMA")</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if signal.age_minutes &gt; 30:</w:t>
      </w:r>
    </w:p>
    <w:p>
      <w:pPr>
        <w:pStyle w:val="CodeBlock"/>
      </w:pPr>
      <w:r>
        <w:rPr>
          <w:rFonts w:ascii="Courier New" w:hAnsi="Courier New" w:eastAsia="Courier New"/>
          <w:sz w:val="16"/>
        </w:rPr>
        <w:t xml:space="preserve">    skip("STALE_SIGNAL")</w:t>
      </w:r>
    </w:p>
    <w:p>
      <w:r>
        <w:br w:type="page"/>
      </w:r>
    </w:p>
    <w:p>
      <w:pPr>
        <w:pStyle w:val="Heading1"/>
      </w:pPr>
      <w:r>
        <w:t>9. Prompt e JSON schema consigliati</w:t>
      </w:r>
    </w:p>
    <w:p>
      <w:pPr>
        <w:pStyle w:val="Heading2"/>
      </w:pPr>
      <w:r>
        <w:t>9.1 Prompt entity extraction</w:t>
      </w:r>
    </w:p>
    <w:p>
      <w:pPr>
        <w:spacing w:after="40"/>
      </w:pPr>
      <w:r>
        <w:rPr>
          <w:b/>
          <w:color w:val="505050"/>
          <w:sz w:val="18"/>
        </w:rPr>
        <w:t>Prompt</w:t>
      </w:r>
    </w:p>
    <w:p>
      <w:pPr>
        <w:pStyle w:val="CodeBlock"/>
      </w:pPr>
      <w:r>
        <w:rPr>
          <w:rFonts w:ascii="Courier New" w:hAnsi="Courier New" w:eastAsia="Courier New"/>
          <w:sz w:val="16"/>
        </w:rPr>
        <w:t>You are extracting financial entities from a news item.</w:t>
      </w:r>
    </w:p>
    <w:p>
      <w:pPr>
        <w:pStyle w:val="CodeBlock"/>
      </w:pPr>
      <w:r>
        <w:rPr>
          <w:rFonts w:ascii="Courier New" w:hAnsi="Courier New" w:eastAsia="Courier New"/>
          <w:sz w:val="16"/>
        </w:rPr>
        <w:t>Return JSON only.</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Rules:</w:t>
      </w:r>
    </w:p>
    <w:p>
      <w:pPr>
        <w:pStyle w:val="CodeBlock"/>
      </w:pPr>
      <w:r>
        <w:rPr>
          <w:rFonts w:ascii="Courier New" w:hAnsi="Courier New" w:eastAsia="Courier New"/>
          <w:sz w:val="16"/>
        </w:rPr>
        <w:t>- Do not invent tickers.</w:t>
      </w:r>
    </w:p>
    <w:p>
      <w:pPr>
        <w:pStyle w:val="CodeBlock"/>
      </w:pPr>
      <w:r>
        <w:rPr>
          <w:rFonts w:ascii="Courier New" w:hAnsi="Courier New" w:eastAsia="Courier New"/>
          <w:sz w:val="16"/>
        </w:rPr>
        <w:t>- Distinguish public companies from private companies, products, sectors and macro themes.</w:t>
      </w:r>
    </w:p>
    <w:p>
      <w:pPr>
        <w:pStyle w:val="CodeBlock"/>
      </w:pPr>
      <w:r>
        <w:rPr>
          <w:rFonts w:ascii="Courier New" w:hAnsi="Courier New" w:eastAsia="Courier New"/>
          <w:sz w:val="16"/>
        </w:rPr>
        <w:t>- Identify whether each company is directly affected or only indirectly affected.</w:t>
      </w:r>
    </w:p>
    <w:p>
      <w:pPr>
        <w:pStyle w:val="CodeBlock"/>
      </w:pPr>
      <w:r>
        <w:rPr>
          <w:rFonts w:ascii="Courier New" w:hAnsi="Courier New" w:eastAsia="Courier New"/>
          <w:sz w:val="16"/>
        </w:rPr>
        <w:t>- Provide exact evidence spans from the article.</w:t>
      </w:r>
    </w:p>
    <w:p>
      <w:pPr>
        <w:pStyle w:val="CodeBlock"/>
      </w:pPr>
      <w:r>
        <w:rPr>
          <w:rFonts w:ascii="Courier New" w:hAnsi="Courier New" w:eastAsia="Courier New"/>
          <w:sz w:val="16"/>
        </w:rPr>
        <w:t>- If ambiguous, set requires_resolution=true and explain ambiguity_flags.</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Output fields:</w:t>
      </w:r>
    </w:p>
    <w:p>
      <w:pPr>
        <w:pStyle w:val="CodeBlock"/>
      </w:pPr>
      <w:r>
        <w:rPr>
          <w:rFonts w:ascii="Courier New" w:hAnsi="Courier New" w:eastAsia="Courier New"/>
          <w:sz w:val="16"/>
        </w:rPr>
        <w:t>news_id, entities[].name, entities[].entity_type, entities[].ticker_hint,</w:t>
      </w:r>
    </w:p>
    <w:p>
      <w:pPr>
        <w:pStyle w:val="CodeBlock"/>
      </w:pPr>
      <w:r>
        <w:rPr>
          <w:rFonts w:ascii="Courier New" w:hAnsi="Courier New" w:eastAsia="Courier New"/>
          <w:sz w:val="16"/>
        </w:rPr>
        <w:t>entities[].exchange_hint, entities[].directness, entities[].requires_resolution,</w:t>
      </w:r>
    </w:p>
    <w:p>
      <w:pPr>
        <w:pStyle w:val="CodeBlock"/>
      </w:pPr>
      <w:r>
        <w:rPr>
          <w:rFonts w:ascii="Courier New" w:hAnsi="Courier New" w:eastAsia="Courier New"/>
          <w:sz w:val="16"/>
        </w:rPr>
        <w:t>entities[].confidence, entities[].evidence_sentences, entities[].ambiguity_flags.</w:t>
      </w:r>
    </w:p>
    <w:p>
      <w:pPr>
        <w:pStyle w:val="Heading2"/>
      </w:pPr>
      <w:r>
        <w:t>9.2 Prompt issuer-specific sentiment</w:t>
      </w:r>
    </w:p>
    <w:p>
      <w:pPr>
        <w:spacing w:after="40"/>
      </w:pPr>
      <w:r>
        <w:rPr>
          <w:b/>
          <w:color w:val="505050"/>
          <w:sz w:val="18"/>
        </w:rPr>
        <w:t>Prompt</w:t>
      </w:r>
    </w:p>
    <w:p>
      <w:pPr>
        <w:pStyle w:val="CodeBlock"/>
      </w:pPr>
      <w:r>
        <w:rPr>
          <w:rFonts w:ascii="Courier New" w:hAnsi="Courier New" w:eastAsia="Courier New"/>
          <w:sz w:val="16"/>
        </w:rPr>
        <w:t>You are extracting issuer-specific financial sentiment.</w:t>
      </w:r>
    </w:p>
    <w:p>
      <w:pPr>
        <w:pStyle w:val="CodeBlock"/>
      </w:pPr>
      <w:r>
        <w:rPr>
          <w:rFonts w:ascii="Courier New" w:hAnsi="Courier New" w:eastAsia="Courier New"/>
          <w:sz w:val="16"/>
        </w:rPr>
        <w:t>Do not provide trading advice.</w:t>
      </w:r>
    </w:p>
    <w:p>
      <w:pPr>
        <w:pStyle w:val="CodeBlock"/>
      </w:pPr>
      <w:r>
        <w:rPr>
          <w:rFonts w:ascii="Courier New" w:hAnsi="Courier New" w:eastAsia="Courier New"/>
          <w:sz w:val="16"/>
        </w:rPr>
        <w:t>Do not output buy/sell/hold.</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For each resolved public company, assess the likely directional impact of this news</w:t>
      </w:r>
    </w:p>
    <w:p>
      <w:pPr>
        <w:pStyle w:val="CodeBlock"/>
      </w:pPr>
      <w:r>
        <w:rPr>
          <w:rFonts w:ascii="Courier New" w:hAnsi="Courier New" w:eastAsia="Courier New"/>
          <w:sz w:val="16"/>
        </w:rPr>
        <w:t>on that issuer's equity price over the specified horizon.</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Rules:</w:t>
      </w:r>
    </w:p>
    <w:p>
      <w:pPr>
        <w:pStyle w:val="CodeBlock"/>
      </w:pPr>
      <w:r>
        <w:rPr>
          <w:rFonts w:ascii="Courier New" w:hAnsi="Courier New" w:eastAsia="Courier New"/>
          <w:sz w:val="16"/>
        </w:rPr>
        <w:t>- Sentiment must be issuer-specific.</w:t>
      </w:r>
    </w:p>
    <w:p>
      <w:pPr>
        <w:pStyle w:val="CodeBlock"/>
      </w:pPr>
      <w:r>
        <w:rPr>
          <w:rFonts w:ascii="Courier New" w:hAnsi="Courier New" w:eastAsia="Courier New"/>
          <w:sz w:val="16"/>
        </w:rPr>
        <w:t>- Separate direct impact from indirect read-through.</w:t>
      </w:r>
    </w:p>
    <w:p>
      <w:pPr>
        <w:pStyle w:val="CodeBlock"/>
      </w:pPr>
      <w:r>
        <w:rPr>
          <w:rFonts w:ascii="Courier New" w:hAnsi="Courier New" w:eastAsia="Courier New"/>
          <w:sz w:val="16"/>
        </w:rPr>
        <w:t>- Use only evidence in the article.</w:t>
      </w:r>
    </w:p>
    <w:p>
      <w:pPr>
        <w:pStyle w:val="CodeBlock"/>
      </w:pPr>
      <w:r>
        <w:rPr>
          <w:rFonts w:ascii="Courier New" w:hAnsi="Courier New" w:eastAsia="Courier New"/>
          <w:sz w:val="16"/>
        </w:rPr>
        <w:t>- If market impact is unclear, set polarity=0 and confidence low.</w:t>
      </w:r>
    </w:p>
    <w:p>
      <w:pPr>
        <w:pStyle w:val="CodeBlock"/>
      </w:pPr>
      <w:r>
        <w:rPr>
          <w:rFonts w:ascii="Courier New" w:hAnsi="Courier New" w:eastAsia="Courier New"/>
          <w:sz w:val="16"/>
        </w:rPr>
        <w:t>- Return JSON only.</w:t>
      </w:r>
    </w:p>
    <w:p>
      <w:pPr>
        <w:pStyle w:val="Heading2"/>
      </w:pPr>
      <w:r>
        <w:t>9.3 JSON schema output sentiment</w:t>
      </w:r>
    </w:p>
    <w:p>
      <w:pPr>
        <w:spacing w:after="40"/>
      </w:pPr>
      <w:r>
        <w:rPr>
          <w:b/>
          <w:color w:val="505050"/>
          <w:sz w:val="18"/>
        </w:rPr>
        <w:t>Schema</w:t>
      </w:r>
    </w:p>
    <w:p>
      <w:pPr>
        <w:pStyle w:val="CodeBlock"/>
      </w:pPr>
      <w:r>
        <w:rPr>
          <w:rFonts w:ascii="Courier New" w:hAnsi="Courier New" w:eastAsia="Courier New"/>
          <w:sz w:val="16"/>
        </w:rPr>
        <w:t>{</w:t>
      </w:r>
    </w:p>
    <w:p>
      <w:pPr>
        <w:pStyle w:val="CodeBlock"/>
      </w:pPr>
      <w:r>
        <w:rPr>
          <w:rFonts w:ascii="Courier New" w:hAnsi="Courier New" w:eastAsia="Courier New"/>
          <w:sz w:val="16"/>
        </w:rPr>
        <w:t xml:space="preserve">  "news_id": "...",</w:t>
      </w:r>
    </w:p>
    <w:p>
      <w:pPr>
        <w:pStyle w:val="CodeBlock"/>
      </w:pPr>
      <w:r>
        <w:rPr>
          <w:rFonts w:ascii="Courier New" w:hAnsi="Courier New" w:eastAsia="Courier New"/>
          <w:sz w:val="16"/>
        </w:rPr>
        <w:t xml:space="preserve">  "items": [</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 xml:space="preserve">      "company_name": "Apple Inc.",</w:t>
      </w:r>
    </w:p>
    <w:p>
      <w:pPr>
        <w:pStyle w:val="CodeBlock"/>
      </w:pPr>
      <w:r>
        <w:rPr>
          <w:rFonts w:ascii="Courier New" w:hAnsi="Courier New" w:eastAsia="Courier New"/>
          <w:sz w:val="16"/>
        </w:rPr>
        <w:t xml:space="preserve">      "ticker_hint": "AAPL",</w:t>
      </w:r>
    </w:p>
    <w:p>
      <w:pPr>
        <w:pStyle w:val="CodeBlock"/>
      </w:pPr>
      <w:r>
        <w:rPr>
          <w:rFonts w:ascii="Courier New" w:hAnsi="Courier New" w:eastAsia="Courier New"/>
          <w:sz w:val="16"/>
        </w:rPr>
        <w:t xml:space="preserve">      "requires_resolution": true,</w:t>
      </w:r>
    </w:p>
    <w:p>
      <w:pPr>
        <w:pStyle w:val="CodeBlock"/>
      </w:pPr>
      <w:r>
        <w:rPr>
          <w:rFonts w:ascii="Courier New" w:hAnsi="Courier New" w:eastAsia="Courier New"/>
          <w:sz w:val="16"/>
        </w:rPr>
        <w:t xml:space="preserve">      "event_type": "earnings|guidance|mna|lawsuit|regulatory|analyst_rating|product|management|macro|other",</w:t>
      </w:r>
    </w:p>
    <w:p>
      <w:pPr>
        <w:pStyle w:val="CodeBlock"/>
      </w:pPr>
      <w:r>
        <w:rPr>
          <w:rFonts w:ascii="Courier New" w:hAnsi="Courier New" w:eastAsia="Courier New"/>
          <w:sz w:val="16"/>
        </w:rPr>
        <w:t xml:space="preserve">      "directness": "direct|indirect|sector|macro|unclear",</w:t>
      </w:r>
    </w:p>
    <w:p>
      <w:pPr>
        <w:pStyle w:val="CodeBlock"/>
      </w:pPr>
      <w:r>
        <w:rPr>
          <w:rFonts w:ascii="Courier New" w:hAnsi="Courier New" w:eastAsia="Courier New"/>
          <w:sz w:val="16"/>
        </w:rPr>
        <w:t xml:space="preserve">      "polarity": -0.75,</w:t>
      </w:r>
    </w:p>
    <w:p>
      <w:pPr>
        <w:pStyle w:val="CodeBlock"/>
      </w:pPr>
      <w:r>
        <w:rPr>
          <w:rFonts w:ascii="Courier New" w:hAnsi="Courier New" w:eastAsia="Courier New"/>
          <w:sz w:val="16"/>
        </w:rPr>
        <w:t xml:space="preserve">      "confidence": 0.82,</w:t>
      </w:r>
    </w:p>
    <w:p>
      <w:pPr>
        <w:pStyle w:val="CodeBlock"/>
      </w:pPr>
      <w:r>
        <w:rPr>
          <w:rFonts w:ascii="Courier New" w:hAnsi="Courier New" w:eastAsia="Courier New"/>
          <w:sz w:val="16"/>
        </w:rPr>
        <w:t xml:space="preserve">      "materiality": 0.77,</w:t>
      </w:r>
    </w:p>
    <w:p>
      <w:pPr>
        <w:pStyle w:val="CodeBlock"/>
      </w:pPr>
      <w:r>
        <w:rPr>
          <w:rFonts w:ascii="Courier New" w:hAnsi="Courier New" w:eastAsia="Courier New"/>
          <w:sz w:val="16"/>
        </w:rPr>
        <w:t xml:space="preserve">      "novelty": 0.65,</w:t>
      </w:r>
    </w:p>
    <w:p>
      <w:pPr>
        <w:pStyle w:val="CodeBlock"/>
      </w:pPr>
      <w:r>
        <w:rPr>
          <w:rFonts w:ascii="Courier New" w:hAnsi="Courier New" w:eastAsia="Courier New"/>
          <w:sz w:val="16"/>
        </w:rPr>
        <w:t xml:space="preserve">      "horizon": "intraday|1d|1-5d|1-3m",</w:t>
      </w:r>
    </w:p>
    <w:p>
      <w:pPr>
        <w:pStyle w:val="CodeBlock"/>
      </w:pPr>
      <w:r>
        <w:rPr>
          <w:rFonts w:ascii="Courier New" w:hAnsi="Courier New" w:eastAsia="Courier New"/>
          <w:sz w:val="16"/>
        </w:rPr>
        <w:t xml:space="preserve">      "evidence_sentences": ["..."],</w:t>
      </w:r>
    </w:p>
    <w:p>
      <w:pPr>
        <w:pStyle w:val="CodeBlock"/>
      </w:pPr>
      <w:r>
        <w:rPr>
          <w:rFonts w:ascii="Courier New" w:hAnsi="Courier New" w:eastAsia="Courier New"/>
          <w:sz w:val="16"/>
        </w:rPr>
        <w:t xml:space="preserve">      "risk_flags": ["already_priced_in", "rumor", "ambiguous_entity", "low_source_quality"]</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w:t>
      </w:r>
    </w:p>
    <w:p>
      <w:r>
        <w:br w:type="page"/>
      </w:r>
    </w:p>
    <w:p>
      <w:pPr>
        <w:pStyle w:val="Heading1"/>
      </w:pPr>
      <w:r>
        <w:t>10. Metriche, backtest e gate di validazione</w:t>
      </w:r>
    </w:p>
    <w:p>
      <w:r>
        <w:t>Le metriche devono separare qualità NLP e utilità di trading. Un modello può estrarre bene il sentiment ma non generare alpha; oppure può generare segnali utili solo in certe fonti, eventi o regimi. Per S4 serve misurare entrambe le dimensioni.</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160"/>
            <w:shd w:fill="1F4E79"/>
          </w:tcPr>
          <w:p>
            <w:pPr>
              <w:spacing w:after="0"/>
            </w:pPr>
            <w:r>
              <w:rPr>
                <w:color w:val="FFFFFF"/>
              </w:rPr>
            </w:r>
            <w:r>
              <w:rPr>
                <w:b/>
                <w:color w:val="FFFFFF"/>
                <w:sz w:val="16"/>
              </w:rPr>
              <w:t>Area</w:t>
            </w:r>
          </w:p>
        </w:tc>
        <w:tc>
          <w:tcPr>
            <w:tcW w:type="dxa" w:w="3311"/>
            <w:shd w:fill="1F4E79"/>
          </w:tcPr>
          <w:p>
            <w:pPr>
              <w:spacing w:after="0"/>
            </w:pPr>
            <w:r>
              <w:rPr>
                <w:color w:val="FFFFFF"/>
              </w:rPr>
            </w:r>
            <w:r>
              <w:rPr>
                <w:b/>
                <w:color w:val="FFFFFF"/>
                <w:sz w:val="16"/>
              </w:rPr>
              <w:t>Metrica</w:t>
            </w:r>
          </w:p>
        </w:tc>
        <w:tc>
          <w:tcPr>
            <w:tcW w:type="dxa" w:w="5184"/>
            <w:shd w:fill="1F4E79"/>
          </w:tcPr>
          <w:p>
            <w:pPr>
              <w:spacing w:after="0"/>
            </w:pPr>
            <w:r>
              <w:rPr>
                <w:color w:val="FFFFFF"/>
              </w:rPr>
            </w:r>
            <w:r>
              <w:rPr>
                <w:b/>
                <w:color w:val="FFFFFF"/>
                <w:sz w:val="16"/>
              </w:rPr>
              <w:t>Soglia/uso</w:t>
            </w:r>
          </w:p>
        </w:tc>
      </w:tr>
      <w:tr>
        <w:tc>
          <w:tcPr>
            <w:tcW w:type="dxa" w:w="2160"/>
          </w:tcPr>
          <w:p>
            <w:pPr>
              <w:spacing w:after="0"/>
            </w:pPr>
            <w:r/>
            <w:r>
              <w:rPr>
                <w:b w:val="0"/>
                <w:sz w:val="16"/>
              </w:rPr>
              <w:t>Ticker extraction</w:t>
            </w:r>
          </w:p>
        </w:tc>
        <w:tc>
          <w:tcPr>
            <w:tcW w:type="dxa" w:w="3311"/>
          </w:tcPr>
          <w:p>
            <w:pPr>
              <w:spacing w:after="0"/>
            </w:pPr>
            <w:r/>
            <w:r>
              <w:rPr>
                <w:b w:val="0"/>
                <w:sz w:val="16"/>
              </w:rPr>
              <w:t>false_positive_ticker_rate</w:t>
            </w:r>
          </w:p>
        </w:tc>
        <w:tc>
          <w:tcPr>
            <w:tcW w:type="dxa" w:w="5184"/>
          </w:tcPr>
          <w:p>
            <w:pPr>
              <w:spacing w:after="0"/>
            </w:pPr>
            <w:r/>
            <w:r>
              <w:rPr>
                <w:b w:val="0"/>
                <w:sz w:val="16"/>
              </w:rPr>
              <w:t>Deve tendere a zero. KPI più importante.</w:t>
            </w:r>
          </w:p>
        </w:tc>
      </w:tr>
      <w:tr>
        <w:tc>
          <w:tcPr>
            <w:tcW w:type="dxa" w:w="2160"/>
          </w:tcPr>
          <w:p>
            <w:pPr>
              <w:spacing w:after="0"/>
            </w:pPr>
            <w:r/>
            <w:r>
              <w:rPr>
                <w:b w:val="0"/>
                <w:sz w:val="16"/>
              </w:rPr>
              <w:t>Ticker extraction</w:t>
            </w:r>
          </w:p>
        </w:tc>
        <w:tc>
          <w:tcPr>
            <w:tcW w:type="dxa" w:w="3311"/>
          </w:tcPr>
          <w:p>
            <w:pPr>
              <w:spacing w:after="0"/>
            </w:pPr>
            <w:r/>
            <w:r>
              <w:rPr>
                <w:b w:val="0"/>
                <w:sz w:val="16"/>
              </w:rPr>
              <w:t>precision@1</w:t>
            </w:r>
          </w:p>
        </w:tc>
        <w:tc>
          <w:tcPr>
            <w:tcW w:type="dxa" w:w="5184"/>
          </w:tcPr>
          <w:p>
            <w:pPr>
              <w:spacing w:after="0"/>
            </w:pPr>
            <w:r/>
            <w:r>
              <w:rPr>
                <w:b w:val="0"/>
                <w:sz w:val="16"/>
              </w:rPr>
              <w:t>Quota di ticker corretti quando la pipeline emette un simbolo.</w:t>
            </w:r>
          </w:p>
        </w:tc>
      </w:tr>
      <w:tr>
        <w:tc>
          <w:tcPr>
            <w:tcW w:type="dxa" w:w="2160"/>
          </w:tcPr>
          <w:p>
            <w:pPr>
              <w:spacing w:after="0"/>
            </w:pPr>
            <w:r/>
            <w:r>
              <w:rPr>
                <w:b w:val="0"/>
                <w:sz w:val="16"/>
              </w:rPr>
              <w:t>Ticker extraction</w:t>
            </w:r>
          </w:p>
        </w:tc>
        <w:tc>
          <w:tcPr>
            <w:tcW w:type="dxa" w:w="3311"/>
          </w:tcPr>
          <w:p>
            <w:pPr>
              <w:spacing w:after="0"/>
            </w:pPr>
            <w:r/>
            <w:r>
              <w:rPr>
                <w:b w:val="0"/>
                <w:sz w:val="16"/>
              </w:rPr>
              <w:t>ambiguous_rate</w:t>
            </w:r>
          </w:p>
        </w:tc>
        <w:tc>
          <w:tcPr>
            <w:tcW w:type="dxa" w:w="5184"/>
          </w:tcPr>
          <w:p>
            <w:pPr>
              <w:spacing w:after="0"/>
            </w:pPr>
            <w:r/>
            <w:r>
              <w:rPr>
                <w:b w:val="0"/>
                <w:sz w:val="16"/>
              </w:rPr>
              <w:t>News scartate per ambiguità; accettabile se riduce errori.</w:t>
            </w:r>
          </w:p>
        </w:tc>
      </w:tr>
      <w:tr>
        <w:tc>
          <w:tcPr>
            <w:tcW w:type="dxa" w:w="2160"/>
          </w:tcPr>
          <w:p>
            <w:pPr>
              <w:spacing w:after="0"/>
            </w:pPr>
            <w:r/>
            <w:r>
              <w:rPr>
                <w:b w:val="0"/>
                <w:sz w:val="16"/>
              </w:rPr>
              <w:t>Sentiment</w:t>
            </w:r>
          </w:p>
        </w:tc>
        <w:tc>
          <w:tcPr>
            <w:tcW w:type="dxa" w:w="3311"/>
          </w:tcPr>
          <w:p>
            <w:pPr>
              <w:spacing w:after="0"/>
            </w:pPr>
            <w:r/>
            <w:r>
              <w:rPr>
                <w:b w:val="0"/>
                <w:sz w:val="16"/>
              </w:rPr>
              <w:t>F1 positivo/negativo/neutro</w:t>
            </w:r>
          </w:p>
        </w:tc>
        <w:tc>
          <w:tcPr>
            <w:tcW w:type="dxa" w:w="5184"/>
          </w:tcPr>
          <w:p>
            <w:pPr>
              <w:spacing w:after="0"/>
            </w:pPr>
            <w:r/>
            <w:r>
              <w:rPr>
                <w:b w:val="0"/>
                <w:sz w:val="16"/>
              </w:rPr>
              <w:t>Confronto contro label umane o benchmark interno.</w:t>
            </w:r>
          </w:p>
        </w:tc>
      </w:tr>
      <w:tr>
        <w:tc>
          <w:tcPr>
            <w:tcW w:type="dxa" w:w="2160"/>
          </w:tcPr>
          <w:p>
            <w:pPr>
              <w:spacing w:after="0"/>
            </w:pPr>
            <w:r/>
            <w:r>
              <w:rPr>
                <w:b w:val="0"/>
                <w:sz w:val="16"/>
              </w:rPr>
              <w:t>Sentiment</w:t>
            </w:r>
          </w:p>
        </w:tc>
        <w:tc>
          <w:tcPr>
            <w:tcW w:type="dxa" w:w="3311"/>
          </w:tcPr>
          <w:p>
            <w:pPr>
              <w:spacing w:after="0"/>
            </w:pPr>
            <w:r/>
            <w:r>
              <w:rPr>
                <w:b w:val="0"/>
                <w:sz w:val="16"/>
              </w:rPr>
              <w:t>agreement Kimi/GLM/FinBERT</w:t>
            </w:r>
          </w:p>
        </w:tc>
        <w:tc>
          <w:tcPr>
            <w:tcW w:type="dxa" w:w="5184"/>
          </w:tcPr>
          <w:p>
            <w:pPr>
              <w:spacing w:after="0"/>
            </w:pPr>
            <w:r/>
            <w:r>
              <w:rPr>
                <w:b w:val="0"/>
                <w:sz w:val="16"/>
              </w:rPr>
              <w:t>Misura stabilità del segnale.</w:t>
            </w:r>
          </w:p>
        </w:tc>
      </w:tr>
      <w:tr>
        <w:tc>
          <w:tcPr>
            <w:tcW w:type="dxa" w:w="2160"/>
          </w:tcPr>
          <w:p>
            <w:pPr>
              <w:spacing w:after="0"/>
            </w:pPr>
            <w:r/>
            <w:r>
              <w:rPr>
                <w:b w:val="0"/>
                <w:sz w:val="16"/>
              </w:rPr>
              <w:t>Trading</w:t>
            </w:r>
          </w:p>
        </w:tc>
        <w:tc>
          <w:tcPr>
            <w:tcW w:type="dxa" w:w="3311"/>
          </w:tcPr>
          <w:p>
            <w:pPr>
              <w:spacing w:after="0"/>
            </w:pPr>
            <w:r/>
            <w:r>
              <w:rPr>
                <w:b w:val="0"/>
                <w:sz w:val="16"/>
              </w:rPr>
              <w:t>IC Spearman score vs forward return</w:t>
            </w:r>
          </w:p>
        </w:tc>
        <w:tc>
          <w:tcPr>
            <w:tcW w:type="dxa" w:w="5184"/>
          </w:tcPr>
          <w:p>
            <w:pPr>
              <w:spacing w:after="0"/>
            </w:pPr>
            <w:r/>
            <w:r>
              <w:rPr>
                <w:b w:val="0"/>
                <w:sz w:val="16"/>
              </w:rPr>
              <w:t>Misura utilità cross-sectional.</w:t>
            </w:r>
          </w:p>
        </w:tc>
      </w:tr>
      <w:tr>
        <w:tc>
          <w:tcPr>
            <w:tcW w:type="dxa" w:w="2160"/>
          </w:tcPr>
          <w:p>
            <w:pPr>
              <w:spacing w:after="0"/>
            </w:pPr>
            <w:r/>
            <w:r>
              <w:rPr>
                <w:b w:val="0"/>
                <w:sz w:val="16"/>
              </w:rPr>
              <w:t>Trading</w:t>
            </w:r>
          </w:p>
        </w:tc>
        <w:tc>
          <w:tcPr>
            <w:tcW w:type="dxa" w:w="3311"/>
          </w:tcPr>
          <w:p>
            <w:pPr>
              <w:spacing w:after="0"/>
            </w:pPr>
            <w:r/>
            <w:r>
              <w:rPr>
                <w:b w:val="0"/>
                <w:sz w:val="16"/>
              </w:rPr>
              <w:t>ICIR</w:t>
            </w:r>
          </w:p>
        </w:tc>
        <w:tc>
          <w:tcPr>
            <w:tcW w:type="dxa" w:w="5184"/>
          </w:tcPr>
          <w:p>
            <w:pPr>
              <w:spacing w:after="0"/>
            </w:pPr>
            <w:r/>
            <w:r>
              <w:rPr>
                <w:b w:val="0"/>
                <w:sz w:val="16"/>
              </w:rPr>
              <w:t>Consistenza temporale del segnale.</w:t>
            </w:r>
          </w:p>
        </w:tc>
      </w:tr>
      <w:tr>
        <w:tc>
          <w:tcPr>
            <w:tcW w:type="dxa" w:w="2160"/>
          </w:tcPr>
          <w:p>
            <w:pPr>
              <w:spacing w:after="0"/>
            </w:pPr>
            <w:r/>
            <w:r>
              <w:rPr>
                <w:b w:val="0"/>
                <w:sz w:val="16"/>
              </w:rPr>
              <w:t>Trading</w:t>
            </w:r>
          </w:p>
        </w:tc>
        <w:tc>
          <w:tcPr>
            <w:tcW w:type="dxa" w:w="3311"/>
          </w:tcPr>
          <w:p>
            <w:pPr>
              <w:spacing w:after="0"/>
            </w:pPr>
            <w:r/>
            <w:r>
              <w:rPr>
                <w:b w:val="0"/>
                <w:sz w:val="16"/>
              </w:rPr>
              <w:t>P&amp;L per event_type/fonte/regime</w:t>
            </w:r>
          </w:p>
        </w:tc>
        <w:tc>
          <w:tcPr>
            <w:tcW w:type="dxa" w:w="5184"/>
          </w:tcPr>
          <w:p>
            <w:pPr>
              <w:spacing w:after="0"/>
            </w:pPr>
            <w:r/>
            <w:r>
              <w:rPr>
                <w:b w:val="0"/>
                <w:sz w:val="16"/>
              </w:rPr>
              <w:t>Capire dove S4 ha edge.</w:t>
            </w:r>
          </w:p>
        </w:tc>
      </w:tr>
      <w:tr>
        <w:tc>
          <w:tcPr>
            <w:tcW w:type="dxa" w:w="2160"/>
          </w:tcPr>
          <w:p>
            <w:pPr>
              <w:spacing w:after="0"/>
            </w:pPr>
            <w:r/>
            <w:r>
              <w:rPr>
                <w:b w:val="0"/>
                <w:sz w:val="16"/>
              </w:rPr>
              <w:t>Risk</w:t>
            </w:r>
          </w:p>
        </w:tc>
        <w:tc>
          <w:tcPr>
            <w:tcW w:type="dxa" w:w="3311"/>
          </w:tcPr>
          <w:p>
            <w:pPr>
              <w:spacing w:after="0"/>
            </w:pPr>
            <w:r/>
            <w:r>
              <w:rPr>
                <w:b w:val="0"/>
                <w:sz w:val="16"/>
              </w:rPr>
              <w:t>trade da ticker sbagliato</w:t>
            </w:r>
          </w:p>
        </w:tc>
        <w:tc>
          <w:tcPr>
            <w:tcW w:type="dxa" w:w="5184"/>
          </w:tcPr>
          <w:p>
            <w:pPr>
              <w:spacing w:after="0"/>
            </w:pPr>
            <w:r/>
            <w:r>
              <w:rPr>
                <w:b w:val="0"/>
                <w:sz w:val="16"/>
              </w:rPr>
              <w:t>Devono essere zero; evento severità massima.</w:t>
            </w:r>
          </w:p>
        </w:tc>
      </w:tr>
    </w:tbl>
    <w:p>
      <w:pPr>
        <w:spacing w:after="0"/>
      </w:pPr>
    </w:p>
    <w:p>
      <w:pPr>
        <w:pStyle w:val="Heading2"/>
      </w:pPr>
      <w:r>
        <w:t>10.1 Dataset di valutazione</w:t>
      </w:r>
    </w:p>
    <w:p>
      <w:r>
        <w:t>Per una valutazione seria, costruire un dataset etichettato di almeno 1.000-5.000 news con: source, headline, body, published_at, entity corretta, ticker corretto, exchange, event_type, sentiment per issuer e forward returns. L'annotazione umana va concentrata su casi ambigui e ad alto impatto.</w:t>
      </w:r>
    </w:p>
    <w:p>
      <w:pPr>
        <w:pStyle w:val="Heading2"/>
      </w:pPr>
      <w:r>
        <w:t>10.2 Forward returns da salvare</w:t>
      </w:r>
    </w:p>
    <w:p>
      <w:pPr>
        <w:spacing w:after="40"/>
      </w:pPr>
      <w:r>
        <w:rPr>
          <w:b/>
          <w:color w:val="505050"/>
          <w:sz w:val="18"/>
        </w:rPr>
        <w:t>Campi consigliati</w:t>
      </w:r>
    </w:p>
    <w:p>
      <w:pPr>
        <w:pStyle w:val="CodeBlock"/>
      </w:pPr>
      <w:r>
        <w:rPr>
          <w:rFonts w:ascii="Courier New" w:hAnsi="Courier New" w:eastAsia="Courier New"/>
          <w:sz w:val="16"/>
        </w:rPr>
        <w:t>future_return_30m</w:t>
      </w:r>
    </w:p>
    <w:p>
      <w:pPr>
        <w:pStyle w:val="CodeBlock"/>
      </w:pPr>
      <w:r>
        <w:rPr>
          <w:rFonts w:ascii="Courier New" w:hAnsi="Courier New" w:eastAsia="Courier New"/>
          <w:sz w:val="16"/>
        </w:rPr>
        <w:t>future_return_1h</w:t>
      </w:r>
    </w:p>
    <w:p>
      <w:pPr>
        <w:pStyle w:val="CodeBlock"/>
      </w:pPr>
      <w:r>
        <w:rPr>
          <w:rFonts w:ascii="Courier New" w:hAnsi="Courier New" w:eastAsia="Courier New"/>
          <w:sz w:val="16"/>
        </w:rPr>
        <w:t>future_return_4h</w:t>
      </w:r>
    </w:p>
    <w:p>
      <w:pPr>
        <w:pStyle w:val="CodeBlock"/>
      </w:pPr>
      <w:r>
        <w:rPr>
          <w:rFonts w:ascii="Courier New" w:hAnsi="Courier New" w:eastAsia="Courier New"/>
          <w:sz w:val="16"/>
        </w:rPr>
        <w:t>future_return_1d</w:t>
      </w:r>
    </w:p>
    <w:p>
      <w:pPr>
        <w:pStyle w:val="CodeBlock"/>
      </w:pPr>
      <w:r>
        <w:rPr>
          <w:rFonts w:ascii="Courier New" w:hAnsi="Courier New" w:eastAsia="Courier New"/>
          <w:sz w:val="16"/>
        </w:rPr>
        <w:t>future_return_5d</w:t>
      </w:r>
    </w:p>
    <w:p>
      <w:pPr>
        <w:pStyle w:val="CodeBlock"/>
      </w:pPr>
      <w:r>
        <w:rPr>
          <w:rFonts w:ascii="Courier New" w:hAnsi="Courier New" w:eastAsia="Courier New"/>
          <w:sz w:val="16"/>
        </w:rPr>
        <w:t>max_adverse_excursion</w:t>
      </w:r>
    </w:p>
    <w:p>
      <w:pPr>
        <w:pStyle w:val="CodeBlock"/>
      </w:pPr>
      <w:r>
        <w:rPr>
          <w:rFonts w:ascii="Courier New" w:hAnsi="Courier New" w:eastAsia="Courier New"/>
          <w:sz w:val="16"/>
        </w:rPr>
        <w:t>max_favorable_excursion</w:t>
      </w:r>
    </w:p>
    <w:p>
      <w:pPr>
        <w:pStyle w:val="CodeBlock"/>
      </w:pPr>
      <w:r>
        <w:rPr>
          <w:rFonts w:ascii="Courier New" w:hAnsi="Courier New" w:eastAsia="Courier New"/>
          <w:sz w:val="16"/>
        </w:rPr>
        <w:t>spread_and_slippage_estimate</w:t>
      </w:r>
    </w:p>
    <w:p>
      <w:pPr>
        <w:pStyle w:val="Heading2"/>
      </w:pPr>
      <w:r>
        <w:t>10.3 Leave-one-out model contribution</w:t>
      </w:r>
    </w:p>
    <w:p>
      <w:r>
        <w:t>Per capire se Kimi, GLM o FinBERT aggiungono valore, calcolare LOO-ICIR: rimuovere un componente alla volta e misurare se IC/ICIR migliorano o peggiorano. Un modello che aumenta agreement ma riduce IC deve essere pesato meno.</w:t>
      </w:r>
    </w:p>
    <w:p>
      <w:r>
        <w:br w:type="page"/>
      </w:r>
    </w:p>
    <w:p>
      <w:pPr>
        <w:pStyle w:val="Heading1"/>
      </w:pPr>
      <w:r>
        <w:t>11. Roadmap implementativa</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440"/>
            <w:shd w:fill="1F4E79"/>
          </w:tcPr>
          <w:p>
            <w:pPr>
              <w:spacing w:after="0"/>
            </w:pPr>
            <w:r>
              <w:rPr>
                <w:color w:val="FFFFFF"/>
              </w:rPr>
            </w:r>
            <w:r>
              <w:rPr>
                <w:b/>
                <w:color w:val="FFFFFF"/>
                <w:sz w:val="16"/>
              </w:rPr>
              <w:t>Fase</w:t>
            </w:r>
          </w:p>
        </w:tc>
        <w:tc>
          <w:tcPr>
            <w:tcW w:type="dxa" w:w="3744"/>
            <w:shd w:fill="1F4E79"/>
          </w:tcPr>
          <w:p>
            <w:pPr>
              <w:spacing w:after="0"/>
            </w:pPr>
            <w:r>
              <w:rPr>
                <w:color w:val="FFFFFF"/>
              </w:rPr>
            </w:r>
            <w:r>
              <w:rPr>
                <w:b/>
                <w:color w:val="FFFFFF"/>
                <w:sz w:val="16"/>
              </w:rPr>
              <w:t>Obiettivo</w:t>
            </w:r>
          </w:p>
        </w:tc>
        <w:tc>
          <w:tcPr>
            <w:tcW w:type="dxa" w:w="5472"/>
            <w:shd w:fill="1F4E79"/>
          </w:tcPr>
          <w:p>
            <w:pPr>
              <w:spacing w:after="0"/>
            </w:pPr>
            <w:r>
              <w:rPr>
                <w:color w:val="FFFFFF"/>
              </w:rPr>
            </w:r>
            <w:r>
              <w:rPr>
                <w:b/>
                <w:color w:val="FFFFFF"/>
                <w:sz w:val="16"/>
              </w:rPr>
              <w:t>Deliverable</w:t>
            </w:r>
          </w:p>
        </w:tc>
      </w:tr>
      <w:tr>
        <w:tc>
          <w:tcPr>
            <w:tcW w:type="dxa" w:w="1440"/>
          </w:tcPr>
          <w:p>
            <w:pPr>
              <w:spacing w:after="0"/>
            </w:pPr>
            <w:r/>
            <w:r>
              <w:rPr>
                <w:b w:val="0"/>
                <w:sz w:val="16"/>
              </w:rPr>
              <w:t>Fase 1</w:t>
            </w:r>
          </w:p>
        </w:tc>
        <w:tc>
          <w:tcPr>
            <w:tcW w:type="dxa" w:w="3744"/>
          </w:tcPr>
          <w:p>
            <w:pPr>
              <w:spacing w:after="0"/>
            </w:pPr>
            <w:r/>
            <w:r>
              <w:rPr>
                <w:b w:val="0"/>
                <w:sz w:val="16"/>
              </w:rPr>
              <w:t>Separare ticker resolution da sentiment.</w:t>
            </w:r>
          </w:p>
        </w:tc>
        <w:tc>
          <w:tcPr>
            <w:tcW w:type="dxa" w:w="5472"/>
          </w:tcPr>
          <w:p>
            <w:pPr>
              <w:spacing w:after="0"/>
            </w:pPr>
            <w:r/>
            <w:r>
              <w:rPr>
                <w:b w:val="0"/>
                <w:sz w:val="16"/>
              </w:rPr>
              <w:t>Nuovo EntityTickerResolutionWorker + tabella news_resolved_entities.</w:t>
            </w:r>
          </w:p>
        </w:tc>
      </w:tr>
      <w:tr>
        <w:tc>
          <w:tcPr>
            <w:tcW w:type="dxa" w:w="1440"/>
          </w:tcPr>
          <w:p>
            <w:pPr>
              <w:spacing w:after="0"/>
            </w:pPr>
            <w:r/>
            <w:r>
              <w:rPr>
                <w:b w:val="0"/>
                <w:sz w:val="16"/>
              </w:rPr>
              <w:t>Fase 2</w:t>
            </w:r>
          </w:p>
        </w:tc>
        <w:tc>
          <w:tcPr>
            <w:tcW w:type="dxa" w:w="3744"/>
          </w:tcPr>
          <w:p>
            <w:pPr>
              <w:spacing w:after="0"/>
            </w:pPr>
            <w:r/>
            <w:r>
              <w:rPr>
                <w:b w:val="0"/>
                <w:sz w:val="16"/>
              </w:rPr>
              <w:t>Aggiungere sentiment issuer-specific.</w:t>
            </w:r>
          </w:p>
        </w:tc>
        <w:tc>
          <w:tcPr>
            <w:tcW w:type="dxa" w:w="5472"/>
          </w:tcPr>
          <w:p>
            <w:pPr>
              <w:spacing w:after="0"/>
            </w:pPr>
            <w:r/>
            <w:r>
              <w:rPr>
                <w:b w:val="0"/>
                <w:sz w:val="16"/>
              </w:rPr>
              <w:t>Prompt JSON per entity e sentiment, evidence sentences per ticker.</w:t>
            </w:r>
          </w:p>
        </w:tc>
      </w:tr>
      <w:tr>
        <w:tc>
          <w:tcPr>
            <w:tcW w:type="dxa" w:w="1440"/>
          </w:tcPr>
          <w:p>
            <w:pPr>
              <w:spacing w:after="0"/>
            </w:pPr>
            <w:r/>
            <w:r>
              <w:rPr>
                <w:b w:val="0"/>
                <w:sz w:val="16"/>
              </w:rPr>
              <w:t>Fase 3</w:t>
            </w:r>
          </w:p>
        </w:tc>
        <w:tc>
          <w:tcPr>
            <w:tcW w:type="dxa" w:w="3744"/>
          </w:tcPr>
          <w:p>
            <w:pPr>
              <w:spacing w:after="0"/>
            </w:pPr>
            <w:r/>
            <w:r>
              <w:rPr>
                <w:b w:val="0"/>
                <w:sz w:val="16"/>
              </w:rPr>
              <w:t>Rendere FinBERT auditor di polarity.</w:t>
            </w:r>
          </w:p>
        </w:tc>
        <w:tc>
          <w:tcPr>
            <w:tcW w:type="dxa" w:w="5472"/>
          </w:tcPr>
          <w:p>
            <w:pPr>
              <w:spacing w:after="0"/>
            </w:pPr>
            <w:r/>
            <w:r>
              <w:rPr>
                <w:b w:val="0"/>
                <w:sz w:val="16"/>
              </w:rPr>
              <w:t>FinBERT solo su evidence, non su articolo completo.</w:t>
            </w:r>
          </w:p>
        </w:tc>
      </w:tr>
      <w:tr>
        <w:tc>
          <w:tcPr>
            <w:tcW w:type="dxa" w:w="1440"/>
          </w:tcPr>
          <w:p>
            <w:pPr>
              <w:spacing w:after="0"/>
            </w:pPr>
            <w:r/>
            <w:r>
              <w:rPr>
                <w:b w:val="0"/>
                <w:sz w:val="16"/>
              </w:rPr>
              <w:t>Fase 4</w:t>
            </w:r>
          </w:p>
        </w:tc>
        <w:tc>
          <w:tcPr>
            <w:tcW w:type="dxa" w:w="3744"/>
          </w:tcPr>
          <w:p>
            <w:pPr>
              <w:spacing w:after="0"/>
            </w:pPr>
            <w:r/>
            <w:r>
              <w:rPr>
                <w:b w:val="0"/>
                <w:sz w:val="16"/>
              </w:rPr>
              <w:t>Aggiungere nuovi gate portfolio.</w:t>
            </w:r>
          </w:p>
        </w:tc>
        <w:tc>
          <w:tcPr>
            <w:tcW w:type="dxa" w:w="5472"/>
          </w:tcPr>
          <w:p>
            <w:pPr>
              <w:spacing w:after="0"/>
            </w:pPr>
            <w:r/>
            <w:r>
              <w:rPr>
                <w:b w:val="0"/>
                <w:sz w:val="16"/>
              </w:rPr>
              <w:t>resolution_confidence, directness, ambiguity_margin.</w:t>
            </w:r>
          </w:p>
        </w:tc>
      </w:tr>
      <w:tr>
        <w:tc>
          <w:tcPr>
            <w:tcW w:type="dxa" w:w="1440"/>
          </w:tcPr>
          <w:p>
            <w:pPr>
              <w:spacing w:after="0"/>
            </w:pPr>
            <w:r/>
            <w:r>
              <w:rPr>
                <w:b w:val="0"/>
                <w:sz w:val="16"/>
              </w:rPr>
              <w:t>Fase 5</w:t>
            </w:r>
          </w:p>
        </w:tc>
        <w:tc>
          <w:tcPr>
            <w:tcW w:type="dxa" w:w="3744"/>
          </w:tcPr>
          <w:p>
            <w:pPr>
              <w:spacing w:after="0"/>
            </w:pPr>
            <w:r/>
            <w:r>
              <w:rPr>
                <w:b w:val="0"/>
                <w:sz w:val="16"/>
              </w:rPr>
              <w:t>Backtest e counterfactual.</w:t>
            </w:r>
          </w:p>
        </w:tc>
        <w:tc>
          <w:tcPr>
            <w:tcW w:type="dxa" w:w="5472"/>
          </w:tcPr>
          <w:p>
            <w:pPr>
              <w:spacing w:after="0"/>
            </w:pPr>
            <w:r/>
            <w:r>
              <w:rPr>
                <w:b w:val="0"/>
                <w:sz w:val="16"/>
              </w:rPr>
              <w:t>Metriche per source/event_type/regime e LOO-ICIR.</w:t>
            </w:r>
          </w:p>
        </w:tc>
      </w:tr>
      <w:tr>
        <w:tc>
          <w:tcPr>
            <w:tcW w:type="dxa" w:w="1440"/>
          </w:tcPr>
          <w:p>
            <w:pPr>
              <w:spacing w:after="0"/>
            </w:pPr>
            <w:r/>
            <w:r>
              <w:rPr>
                <w:b w:val="0"/>
                <w:sz w:val="16"/>
              </w:rPr>
              <w:t>Fase 6</w:t>
            </w:r>
          </w:p>
        </w:tc>
        <w:tc>
          <w:tcPr>
            <w:tcW w:type="dxa" w:w="3744"/>
          </w:tcPr>
          <w:p>
            <w:pPr>
              <w:spacing w:after="0"/>
            </w:pPr>
            <w:r/>
            <w:r>
              <w:rPr>
                <w:b w:val="0"/>
                <w:sz w:val="16"/>
              </w:rPr>
              <w:t>Auto-improve.</w:t>
            </w:r>
          </w:p>
        </w:tc>
        <w:tc>
          <w:tcPr>
            <w:tcW w:type="dxa" w:w="5472"/>
          </w:tcPr>
          <w:p>
            <w:pPr>
              <w:spacing w:after="0"/>
            </w:pPr>
            <w:r/>
            <w:r>
              <w:rPr>
                <w:b w:val="0"/>
                <w:sz w:val="16"/>
              </w:rPr>
              <w:t>Threshold adattivi per event_type e fonte, non solo soglia globale.</w:t>
            </w:r>
          </w:p>
        </w:tc>
      </w:tr>
    </w:tbl>
    <w:p>
      <w:pPr>
        <w:spacing w:after="0"/>
      </w:pPr>
    </w:p>
    <w:p>
      <w:pPr>
        <w:pStyle w:val="Heading2"/>
      </w:pPr>
      <w:r>
        <w:t>11.1 Priorità immediata</w:t>
      </w:r>
    </w:p>
    <w:p>
      <w:pPr>
        <w:pStyle w:val="ListNumber"/>
        <w:spacing w:after="40"/>
      </w:pPr>
      <w:r>
        <w:t>Inserire hard gate NO_TRADE per ticker ambiguity e non-tradability.</w:t>
      </w:r>
    </w:p>
    <w:p>
      <w:pPr>
        <w:pStyle w:val="ListNumber"/>
        <w:spacing w:after="40"/>
      </w:pPr>
      <w:r>
        <w:t>Aggiungere campo directness e resolution_confidence nel payload Redis.</w:t>
      </w:r>
    </w:p>
    <w:p>
      <w:pPr>
        <w:pStyle w:val="ListNumber"/>
        <w:spacing w:after="40"/>
      </w:pPr>
      <w:r>
        <w:t>Modificare il prompt affinché gli LLM non producano buy/sell/hold.</w:t>
      </w:r>
    </w:p>
    <w:p>
      <w:pPr>
        <w:pStyle w:val="ListNumber"/>
        <w:spacing w:after="40"/>
      </w:pPr>
      <w:r>
        <w:t>Passare a FinBERT solo evidence sentences per ticker, non l'intera news.</w:t>
      </w:r>
    </w:p>
    <w:p>
      <w:pPr>
        <w:pStyle w:val="ListNumber"/>
        <w:spacing w:after="40"/>
      </w:pPr>
      <w:r>
        <w:t>Salvare componenti separate in DB per backtest e debugging.</w:t>
      </w:r>
    </w:p>
    <w:p>
      <w:r>
        <w:br w:type="page"/>
      </w:r>
    </w:p>
    <w:p>
      <w:pPr>
        <w:pStyle w:val="Heading1"/>
      </w:pPr>
      <w:r>
        <w:t>12. Appendici tecniche</w:t>
      </w:r>
    </w:p>
    <w:p>
      <w:pPr>
        <w:pStyle w:val="Heading2"/>
      </w:pPr>
      <w:r>
        <w:t>12.1 Pydantic model indicativo</w:t>
      </w:r>
    </w:p>
    <w:p>
      <w:pPr>
        <w:spacing w:after="40"/>
      </w:pPr>
      <w:r>
        <w:rPr>
          <w:b/>
          <w:color w:val="505050"/>
          <w:sz w:val="18"/>
        </w:rPr>
        <w:t>Python schema</w:t>
      </w:r>
    </w:p>
    <w:p>
      <w:pPr>
        <w:pStyle w:val="CodeBlock"/>
      </w:pPr>
      <w:r>
        <w:rPr>
          <w:rFonts w:ascii="Courier New" w:hAnsi="Courier New" w:eastAsia="Courier New"/>
          <w:sz w:val="16"/>
        </w:rPr>
        <w:t>class ResolvedEntity(BaseModel):</w:t>
      </w:r>
    </w:p>
    <w:p>
      <w:pPr>
        <w:pStyle w:val="CodeBlock"/>
      </w:pPr>
      <w:r>
        <w:rPr>
          <w:rFonts w:ascii="Courier New" w:hAnsi="Courier New" w:eastAsia="Courier New"/>
          <w:sz w:val="16"/>
        </w:rPr>
        <w:t xml:space="preserve">    news_id: str</w:t>
      </w:r>
    </w:p>
    <w:p>
      <w:pPr>
        <w:pStyle w:val="CodeBlock"/>
      </w:pPr>
      <w:r>
        <w:rPr>
          <w:rFonts w:ascii="Courier New" w:hAnsi="Courier New" w:eastAsia="Courier New"/>
          <w:sz w:val="16"/>
        </w:rPr>
        <w:t xml:space="preserve">    surface_text: str</w:t>
      </w:r>
    </w:p>
    <w:p>
      <w:pPr>
        <w:pStyle w:val="CodeBlock"/>
      </w:pPr>
      <w:r>
        <w:rPr>
          <w:rFonts w:ascii="Courier New" w:hAnsi="Courier New" w:eastAsia="Courier New"/>
          <w:sz w:val="16"/>
        </w:rPr>
        <w:t xml:space="preserve">    company_name: str | None</w:t>
      </w:r>
    </w:p>
    <w:p>
      <w:pPr>
        <w:pStyle w:val="CodeBlock"/>
      </w:pPr>
      <w:r>
        <w:rPr>
          <w:rFonts w:ascii="Courier New" w:hAnsi="Courier New" w:eastAsia="Courier New"/>
          <w:sz w:val="16"/>
        </w:rPr>
        <w:t xml:space="preserve">    selected_ticker: str | None</w:t>
      </w:r>
    </w:p>
    <w:p>
      <w:pPr>
        <w:pStyle w:val="CodeBlock"/>
      </w:pPr>
      <w:r>
        <w:rPr>
          <w:rFonts w:ascii="Courier New" w:hAnsi="Courier New" w:eastAsia="Courier New"/>
          <w:sz w:val="16"/>
        </w:rPr>
        <w:t xml:space="preserve">    exchange: str | None</w:t>
      </w:r>
    </w:p>
    <w:p>
      <w:pPr>
        <w:pStyle w:val="CodeBlock"/>
      </w:pPr>
      <w:r>
        <w:rPr>
          <w:rFonts w:ascii="Courier New" w:hAnsi="Courier New" w:eastAsia="Courier New"/>
          <w:sz w:val="16"/>
        </w:rPr>
        <w:t xml:space="preserve">    cik: str | None</w:t>
      </w:r>
    </w:p>
    <w:p>
      <w:pPr>
        <w:pStyle w:val="CodeBlock"/>
      </w:pPr>
      <w:r>
        <w:rPr>
          <w:rFonts w:ascii="Courier New" w:hAnsi="Courier New" w:eastAsia="Courier New"/>
          <w:sz w:val="16"/>
        </w:rPr>
        <w:t xml:space="preserve">    figi: str | None</w:t>
      </w:r>
    </w:p>
    <w:p>
      <w:pPr>
        <w:pStyle w:val="CodeBlock"/>
      </w:pPr>
      <w:r>
        <w:rPr>
          <w:rFonts w:ascii="Courier New" w:hAnsi="Courier New" w:eastAsia="Courier New"/>
          <w:sz w:val="16"/>
        </w:rPr>
        <w:t xml:space="preserve">    directness: Literal["direct", "customer_supplier", "competitor_readthrough", "sector", "macro", "unclear"]</w:t>
      </w:r>
    </w:p>
    <w:p>
      <w:pPr>
        <w:pStyle w:val="CodeBlock"/>
      </w:pPr>
      <w:r>
        <w:rPr>
          <w:rFonts w:ascii="Courier New" w:hAnsi="Courier New" w:eastAsia="Courier New"/>
          <w:sz w:val="16"/>
        </w:rPr>
        <w:t xml:space="preserve">    resolution_confidence: float</w:t>
      </w:r>
    </w:p>
    <w:p>
      <w:pPr>
        <w:pStyle w:val="CodeBlock"/>
      </w:pPr>
      <w:r>
        <w:rPr>
          <w:rFonts w:ascii="Courier New" w:hAnsi="Courier New" w:eastAsia="Courier New"/>
          <w:sz w:val="16"/>
        </w:rPr>
        <w:t xml:space="preserve">    ambiguity_margin: float</w:t>
      </w:r>
    </w:p>
    <w:p>
      <w:pPr>
        <w:pStyle w:val="CodeBlock"/>
      </w:pPr>
      <w:r>
        <w:rPr>
          <w:rFonts w:ascii="Courier New" w:hAnsi="Courier New" w:eastAsia="Courier New"/>
          <w:sz w:val="16"/>
        </w:rPr>
        <w:t xml:space="preserve">    tradable: bool</w:t>
      </w:r>
    </w:p>
    <w:p>
      <w:pPr>
        <w:pStyle w:val="CodeBlock"/>
      </w:pPr>
      <w:r>
        <w:rPr>
          <w:rFonts w:ascii="Courier New" w:hAnsi="Courier New" w:eastAsia="Courier New"/>
          <w:sz w:val="16"/>
        </w:rPr>
        <w:t xml:space="preserve">    decision: str</w:t>
      </w:r>
    </w:p>
    <w:p>
      <w:pPr>
        <w:pStyle w:val="CodeBlock"/>
      </w:pPr>
      <w:r>
        <w:rPr>
          <w:rFonts w:ascii="Courier New" w:hAnsi="Courier New" w:eastAsia="Courier New"/>
          <w:sz w:val="16"/>
        </w:rPr>
        <w:t xml:space="preserve">    evidence_sentences: list[str]</w:t>
      </w:r>
    </w:p>
    <w:p>
      <w:pPr>
        <w:pStyle w:val="CodeBlock"/>
      </w:pPr>
      <w:r>
        <w:rPr>
          <w:rFonts w:ascii="Courier New" w:hAnsi="Courier New" w:eastAsia="Courier New"/>
          <w:sz w:val="16"/>
        </w:rPr>
        <w:t xml:space="preserve">    ambiguity_flags: list[str]</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class IssuerSentiment(BaseModel):</w:t>
      </w:r>
    </w:p>
    <w:p>
      <w:pPr>
        <w:pStyle w:val="CodeBlock"/>
      </w:pPr>
      <w:r>
        <w:rPr>
          <w:rFonts w:ascii="Courier New" w:hAnsi="Courier New" w:eastAsia="Courier New"/>
          <w:sz w:val="16"/>
        </w:rPr>
        <w:t xml:space="preserve">    news_id: str</w:t>
      </w:r>
    </w:p>
    <w:p>
      <w:pPr>
        <w:pStyle w:val="CodeBlock"/>
      </w:pPr>
      <w:r>
        <w:rPr>
          <w:rFonts w:ascii="Courier New" w:hAnsi="Courier New" w:eastAsia="Courier New"/>
          <w:sz w:val="16"/>
        </w:rPr>
        <w:t xml:space="preserve">    symbol: str</w:t>
      </w:r>
    </w:p>
    <w:p>
      <w:pPr>
        <w:pStyle w:val="CodeBlock"/>
      </w:pPr>
      <w:r>
        <w:rPr>
          <w:rFonts w:ascii="Courier New" w:hAnsi="Courier New" w:eastAsia="Courier New"/>
          <w:sz w:val="16"/>
        </w:rPr>
        <w:t xml:space="preserve">    event_type: str</w:t>
      </w:r>
    </w:p>
    <w:p>
      <w:pPr>
        <w:pStyle w:val="CodeBlock"/>
      </w:pPr>
      <w:r>
        <w:rPr>
          <w:rFonts w:ascii="Courier New" w:hAnsi="Courier New" w:eastAsia="Courier New"/>
          <w:sz w:val="16"/>
        </w:rPr>
        <w:t xml:space="preserve">    polarity: float</w:t>
      </w:r>
    </w:p>
    <w:p>
      <w:pPr>
        <w:pStyle w:val="CodeBlock"/>
      </w:pPr>
      <w:r>
        <w:rPr>
          <w:rFonts w:ascii="Courier New" w:hAnsi="Courier New" w:eastAsia="Courier New"/>
          <w:sz w:val="16"/>
        </w:rPr>
        <w:t xml:space="preserve">    confidence: float</w:t>
      </w:r>
    </w:p>
    <w:p>
      <w:pPr>
        <w:pStyle w:val="CodeBlock"/>
      </w:pPr>
      <w:r>
        <w:rPr>
          <w:rFonts w:ascii="Courier New" w:hAnsi="Courier New" w:eastAsia="Courier New"/>
          <w:sz w:val="16"/>
        </w:rPr>
        <w:t xml:space="preserve">    materiality: float</w:t>
      </w:r>
    </w:p>
    <w:p>
      <w:pPr>
        <w:pStyle w:val="CodeBlock"/>
      </w:pPr>
      <w:r>
        <w:rPr>
          <w:rFonts w:ascii="Courier New" w:hAnsi="Courier New" w:eastAsia="Courier New"/>
          <w:sz w:val="16"/>
        </w:rPr>
        <w:t xml:space="preserve">    novelty: float</w:t>
      </w:r>
    </w:p>
    <w:p>
      <w:pPr>
        <w:pStyle w:val="CodeBlock"/>
      </w:pPr>
      <w:r>
        <w:rPr>
          <w:rFonts w:ascii="Courier New" w:hAnsi="Courier New" w:eastAsia="Courier New"/>
          <w:sz w:val="16"/>
        </w:rPr>
        <w:t xml:space="preserve">    directness_multiplier: float</w:t>
      </w:r>
    </w:p>
    <w:p>
      <w:pPr>
        <w:pStyle w:val="CodeBlock"/>
      </w:pPr>
      <w:r>
        <w:rPr>
          <w:rFonts w:ascii="Courier New" w:hAnsi="Courier New" w:eastAsia="Courier New"/>
          <w:sz w:val="16"/>
        </w:rPr>
        <w:t xml:space="preserve">    source_quality: float</w:t>
      </w:r>
    </w:p>
    <w:p>
      <w:pPr>
        <w:pStyle w:val="CodeBlock"/>
      </w:pPr>
      <w:r>
        <w:rPr>
          <w:rFonts w:ascii="Courier New" w:hAnsi="Courier New" w:eastAsia="Courier New"/>
          <w:sz w:val="16"/>
        </w:rPr>
        <w:t xml:space="preserve">    event_type_weight: float</w:t>
      </w:r>
    </w:p>
    <w:p>
      <w:pPr>
        <w:pStyle w:val="CodeBlock"/>
      </w:pPr>
      <w:r>
        <w:rPr>
          <w:rFonts w:ascii="Courier New" w:hAnsi="Courier New" w:eastAsia="Courier New"/>
          <w:sz w:val="16"/>
        </w:rPr>
        <w:t xml:space="preserve">    final_score: float</w:t>
      </w:r>
    </w:p>
    <w:p>
      <w:pPr>
        <w:pStyle w:val="CodeBlock"/>
      </w:pPr>
      <w:r>
        <w:rPr>
          <w:rFonts w:ascii="Courier New" w:hAnsi="Courier New" w:eastAsia="Courier New"/>
          <w:sz w:val="16"/>
        </w:rPr>
        <w:t xml:space="preserve">    final_decision: str</w:t>
      </w:r>
    </w:p>
    <w:p>
      <w:pPr>
        <w:pStyle w:val="CodeBlock"/>
      </w:pPr>
      <w:r>
        <w:rPr>
          <w:rFonts w:ascii="Courier New" w:hAnsi="Courier New" w:eastAsia="Courier New"/>
          <w:sz w:val="16"/>
        </w:rPr>
        <w:t xml:space="preserve">    risk_flags: list[str]</w:t>
      </w:r>
    </w:p>
    <w:p>
      <w:pPr>
        <w:pStyle w:val="Heading2"/>
      </w:pPr>
      <w:r>
        <w:t>12.2 Config YAML iniziale</w:t>
      </w:r>
    </w:p>
    <w:p>
      <w:pPr>
        <w:spacing w:after="40"/>
      </w:pPr>
      <w:r>
        <w:rPr>
          <w:b/>
          <w:color w:val="505050"/>
          <w:sz w:val="18"/>
        </w:rPr>
        <w:t>Config</w:t>
      </w:r>
    </w:p>
    <w:p>
      <w:pPr>
        <w:pStyle w:val="CodeBlock"/>
      </w:pPr>
      <w:r>
        <w:rPr>
          <w:rFonts w:ascii="Courier New" w:hAnsi="Courier New" w:eastAsia="Courier New"/>
          <w:sz w:val="16"/>
        </w:rPr>
        <w:t>s4_sentiment:</w:t>
      </w:r>
    </w:p>
    <w:p>
      <w:pPr>
        <w:pStyle w:val="CodeBlock"/>
      </w:pPr>
      <w:r>
        <w:rPr>
          <w:rFonts w:ascii="Courier New" w:hAnsi="Courier New" w:eastAsia="Courier New"/>
          <w:sz w:val="16"/>
        </w:rPr>
        <w:t xml:space="preserve">  entry_threshold: 0.30</w:t>
      </w:r>
    </w:p>
    <w:p>
      <w:pPr>
        <w:pStyle w:val="CodeBlock"/>
      </w:pPr>
      <w:r>
        <w:rPr>
          <w:rFonts w:ascii="Courier New" w:hAnsi="Courier New" w:eastAsia="Courier New"/>
          <w:sz w:val="16"/>
        </w:rPr>
        <w:t xml:space="preserve">  exit_threshold: -0.35</w:t>
      </w:r>
    </w:p>
    <w:p>
      <w:pPr>
        <w:pStyle w:val="CodeBlock"/>
      </w:pPr>
      <w:r>
        <w:rPr>
          <w:rFonts w:ascii="Courier New" w:hAnsi="Courier New" w:eastAsia="Courier New"/>
          <w:sz w:val="16"/>
        </w:rPr>
        <w:t xml:space="preserve">  max_signal_age_minutes: 30</w:t>
      </w:r>
    </w:p>
    <w:p>
      <w:pPr>
        <w:pStyle w:val="CodeBlock"/>
      </w:pPr>
      <w:r>
        <w:rPr>
          <w:rFonts w:ascii="Courier New" w:hAnsi="Courier New" w:eastAsia="Courier New"/>
          <w:sz w:val="16"/>
        </w:rPr>
        <w:t xml:space="preserve">  min_resolution_confidence: 0.80</w:t>
      </w:r>
    </w:p>
    <w:p>
      <w:pPr>
        <w:pStyle w:val="CodeBlock"/>
      </w:pPr>
      <w:r>
        <w:rPr>
          <w:rFonts w:ascii="Courier New" w:hAnsi="Courier New" w:eastAsia="Courier New"/>
          <w:sz w:val="16"/>
        </w:rPr>
        <w:t xml:space="preserve">  min_ambiguity_margin: 0.15</w:t>
      </w:r>
    </w:p>
    <w:p>
      <w:pPr>
        <w:pStyle w:val="CodeBlock"/>
      </w:pPr>
      <w:r>
        <w:rPr>
          <w:rFonts w:ascii="Courier New" w:hAnsi="Courier New" w:eastAsia="Courier New"/>
          <w:sz w:val="16"/>
        </w:rPr>
        <w:t xml:space="preserve">  allow_indirect: false</w:t>
      </w:r>
    </w:p>
    <w:p>
      <w:pPr>
        <w:pStyle w:val="CodeBlock"/>
      </w:pPr>
      <w:r>
        <w:rPr>
          <w:rFonts w:ascii="Courier New" w:hAnsi="Courier New" w:eastAsia="Courier New"/>
          <w:sz w:val="16"/>
        </w:rPr>
        <w:t xml:space="preserve">  indirect_size_multiplier: 0.25</w:t>
      </w:r>
    </w:p>
    <w:p>
      <w:pPr>
        <w:pStyle w:val="CodeBlock"/>
      </w:pPr>
      <w:r>
        <w:rPr>
          <w:rFonts w:ascii="Courier New" w:hAnsi="Courier New" w:eastAsia="Courier New"/>
          <w:sz w:val="16"/>
        </w:rPr>
        <w:t xml:space="preserve">  finbert:</w:t>
      </w:r>
    </w:p>
    <w:p>
      <w:pPr>
        <w:pStyle w:val="CodeBlock"/>
      </w:pPr>
      <w:r>
        <w:rPr>
          <w:rFonts w:ascii="Courier New" w:hAnsi="Courier New" w:eastAsia="Courier New"/>
          <w:sz w:val="16"/>
        </w:rPr>
        <w:t xml:space="preserve">    enabled: true</w:t>
      </w:r>
    </w:p>
    <w:p>
      <w:pPr>
        <w:pStyle w:val="CodeBlock"/>
      </w:pPr>
      <w:r>
        <w:rPr>
          <w:rFonts w:ascii="Courier New" w:hAnsi="Courier New" w:eastAsia="Courier New"/>
          <w:sz w:val="16"/>
        </w:rPr>
        <w:t xml:space="preserve">    trigger: polarity_divergence</w:t>
      </w:r>
    </w:p>
    <w:p>
      <w:pPr>
        <w:pStyle w:val="CodeBlock"/>
      </w:pPr>
      <w:r>
        <w:rPr>
          <w:rFonts w:ascii="Courier New" w:hAnsi="Courier New" w:eastAsia="Courier New"/>
          <w:sz w:val="16"/>
        </w:rPr>
        <w:t xml:space="preserve">    input: evidence_sentences</w:t>
      </w:r>
    </w:p>
    <w:p>
      <w:pPr>
        <w:pStyle w:val="CodeBlock"/>
      </w:pPr>
      <w:r>
        <w:rPr>
          <w:rFonts w:ascii="Courier New" w:hAnsi="Courier New" w:eastAsia="Courier New"/>
          <w:sz w:val="16"/>
        </w:rPr>
        <w:t xml:space="preserve">  event_type_weights:</w:t>
      </w:r>
    </w:p>
    <w:p>
      <w:pPr>
        <w:pStyle w:val="CodeBlock"/>
      </w:pPr>
      <w:r>
        <w:rPr>
          <w:rFonts w:ascii="Courier New" w:hAnsi="Courier New" w:eastAsia="Courier New"/>
          <w:sz w:val="16"/>
        </w:rPr>
        <w:t xml:space="preserve">    earnings_guidance: 1.00</w:t>
      </w:r>
    </w:p>
    <w:p>
      <w:pPr>
        <w:pStyle w:val="CodeBlock"/>
      </w:pPr>
      <w:r>
        <w:rPr>
          <w:rFonts w:ascii="Courier New" w:hAnsi="Courier New" w:eastAsia="Courier New"/>
          <w:sz w:val="16"/>
        </w:rPr>
        <w:t xml:space="preserve">    guidance_revision: 1.00</w:t>
      </w:r>
    </w:p>
    <w:p>
      <w:pPr>
        <w:pStyle w:val="CodeBlock"/>
      </w:pPr>
      <w:r>
        <w:rPr>
          <w:rFonts w:ascii="Courier New" w:hAnsi="Courier New" w:eastAsia="Courier New"/>
          <w:sz w:val="16"/>
        </w:rPr>
        <w:t xml:space="preserve">    mna_confirmed: 0.90</w:t>
      </w:r>
    </w:p>
    <w:p>
      <w:pPr>
        <w:pStyle w:val="CodeBlock"/>
      </w:pPr>
      <w:r>
        <w:rPr>
          <w:rFonts w:ascii="Courier New" w:hAnsi="Courier New" w:eastAsia="Courier New"/>
          <w:sz w:val="16"/>
        </w:rPr>
        <w:t xml:space="preserve">    regulatory_approval_rejection: 0.85</w:t>
      </w:r>
    </w:p>
    <w:p>
      <w:pPr>
        <w:pStyle w:val="CodeBlock"/>
      </w:pPr>
      <w:r>
        <w:rPr>
          <w:rFonts w:ascii="Courier New" w:hAnsi="Courier New" w:eastAsia="Courier New"/>
          <w:sz w:val="16"/>
        </w:rPr>
        <w:t xml:space="preserve">    lawsuit_investigation: 0.75</w:t>
      </w:r>
    </w:p>
    <w:p>
      <w:pPr>
        <w:pStyle w:val="CodeBlock"/>
      </w:pPr>
      <w:r>
        <w:rPr>
          <w:rFonts w:ascii="Courier New" w:hAnsi="Courier New" w:eastAsia="Courier New"/>
          <w:sz w:val="16"/>
        </w:rPr>
        <w:t xml:space="preserve">    analyst_upgrade_downgrade: 0.55</w:t>
      </w:r>
    </w:p>
    <w:p>
      <w:pPr>
        <w:pStyle w:val="CodeBlock"/>
      </w:pPr>
      <w:r>
        <w:rPr>
          <w:rFonts w:ascii="Courier New" w:hAnsi="Courier New" w:eastAsia="Courier New"/>
          <w:sz w:val="16"/>
        </w:rPr>
        <w:t xml:space="preserve">    product_announcement: 0.45</w:t>
      </w:r>
    </w:p>
    <w:p>
      <w:pPr>
        <w:pStyle w:val="CodeBlock"/>
      </w:pPr>
      <w:r>
        <w:rPr>
          <w:rFonts w:ascii="Courier New" w:hAnsi="Courier New" w:eastAsia="Courier New"/>
          <w:sz w:val="16"/>
        </w:rPr>
        <w:t xml:space="preserve">    rumor: 0.25</w:t>
      </w:r>
    </w:p>
    <w:p>
      <w:pPr>
        <w:pStyle w:val="CodeBlock"/>
      </w:pPr>
      <w:r>
        <w:rPr>
          <w:rFonts w:ascii="Courier New" w:hAnsi="Courier New" w:eastAsia="Courier New"/>
          <w:sz w:val="16"/>
        </w:rPr>
        <w:t xml:space="preserve">    macro_sector: 0.20</w:t>
      </w:r>
    </w:p>
    <w:p>
      <w:r>
        <w:br w:type="page"/>
      </w:r>
    </w:p>
    <w:p>
      <w:pPr>
        <w:pStyle w:val="Heading2"/>
      </w:pPr>
      <w:r>
        <w:t>12.3 Decision matrix finale</w:t>
      </w:r>
    </w:p>
    <w:tbl>
      <w:tblPr>
        <w:tblStyle w:val="TableGrid"/>
        <w:tblW w:type="auto" w:w="0"/>
        <w:jc w:val="center"/>
        <w:tblLayout w:type="autofit"/>
        <w:tblLook w:firstColumn="1" w:firstRow="1" w:lastColumn="0" w:lastRow="0" w:noHBand="0" w:noVBand="1" w:val="04A0"/>
      </w:tblPr>
      <w:tblGrid>
        <w:gridCol w:w="5112"/>
        <w:gridCol w:w="5112"/>
      </w:tblGrid>
      <w:tr>
        <w:tc>
          <w:tcPr>
            <w:tcW w:type="dxa" w:w="6048"/>
            <w:shd w:fill="1F4E79"/>
          </w:tcPr>
          <w:p>
            <w:pPr>
              <w:spacing w:after="0"/>
            </w:pPr>
            <w:r>
              <w:rPr>
                <w:color w:val="FFFFFF"/>
              </w:rPr>
            </w:r>
            <w:r>
              <w:rPr>
                <w:b/>
                <w:color w:val="FFFFFF"/>
                <w:sz w:val="16"/>
              </w:rPr>
              <w:t>Condizione</w:t>
            </w:r>
          </w:p>
        </w:tc>
        <w:tc>
          <w:tcPr>
            <w:tcW w:type="dxa" w:w="4320"/>
            <w:shd w:fill="1F4E79"/>
          </w:tcPr>
          <w:p>
            <w:pPr>
              <w:spacing w:after="0"/>
            </w:pPr>
            <w:r>
              <w:rPr>
                <w:color w:val="FFFFFF"/>
              </w:rPr>
            </w:r>
            <w:r>
              <w:rPr>
                <w:b/>
                <w:color w:val="FFFFFF"/>
                <w:sz w:val="16"/>
              </w:rPr>
              <w:t>Azione</w:t>
            </w:r>
          </w:p>
        </w:tc>
      </w:tr>
      <w:tr>
        <w:tc>
          <w:tcPr>
            <w:tcW w:type="dxa" w:w="6048"/>
          </w:tcPr>
          <w:p>
            <w:pPr>
              <w:spacing w:after="0"/>
            </w:pPr>
            <w:r/>
            <w:r>
              <w:rPr>
                <w:b w:val="0"/>
                <w:sz w:val="16"/>
              </w:rPr>
              <w:t>Ticker ambiguo o non tradable</w:t>
            </w:r>
          </w:p>
        </w:tc>
        <w:tc>
          <w:tcPr>
            <w:tcW w:type="dxa" w:w="4320"/>
          </w:tcPr>
          <w:p>
            <w:pPr>
              <w:spacing w:after="0"/>
            </w:pPr>
            <w:r/>
            <w:r>
              <w:rPr>
                <w:b w:val="0"/>
                <w:sz w:val="16"/>
              </w:rPr>
              <w:t>NO_TRADE</w:t>
            </w:r>
          </w:p>
        </w:tc>
      </w:tr>
      <w:tr>
        <w:tc>
          <w:tcPr>
            <w:tcW w:type="dxa" w:w="6048"/>
          </w:tcPr>
          <w:p>
            <w:pPr>
              <w:spacing w:after="0"/>
            </w:pPr>
            <w:r/>
            <w:r>
              <w:rPr>
                <w:b w:val="0"/>
                <w:sz w:val="16"/>
              </w:rPr>
              <w:t>resolution_confidence &lt; 0.80</w:t>
            </w:r>
          </w:p>
        </w:tc>
        <w:tc>
          <w:tcPr>
            <w:tcW w:type="dxa" w:w="4320"/>
          </w:tcPr>
          <w:p>
            <w:pPr>
              <w:spacing w:after="0"/>
            </w:pPr>
            <w:r/>
            <w:r>
              <w:rPr>
                <w:b w:val="0"/>
                <w:sz w:val="16"/>
              </w:rPr>
              <w:t>NO_TRADE</w:t>
            </w:r>
          </w:p>
        </w:tc>
      </w:tr>
      <w:tr>
        <w:tc>
          <w:tcPr>
            <w:tcW w:type="dxa" w:w="6048"/>
          </w:tcPr>
          <w:p>
            <w:pPr>
              <w:spacing w:after="0"/>
            </w:pPr>
            <w:r/>
            <w:r>
              <w:rPr>
                <w:b w:val="0"/>
                <w:sz w:val="16"/>
              </w:rPr>
              <w:t>directness unclear/sector/macro</w:t>
            </w:r>
          </w:p>
        </w:tc>
        <w:tc>
          <w:tcPr>
            <w:tcW w:type="dxa" w:w="4320"/>
          </w:tcPr>
          <w:p>
            <w:pPr>
              <w:spacing w:after="0"/>
            </w:pPr>
            <w:r/>
            <w:r>
              <w:rPr>
                <w:b w:val="0"/>
                <w:sz w:val="16"/>
              </w:rPr>
              <w:t>NO_TRADE oppure multiplier molto basso se abilitato</w:t>
            </w:r>
          </w:p>
        </w:tc>
      </w:tr>
      <w:tr>
        <w:tc>
          <w:tcPr>
            <w:tcW w:type="dxa" w:w="6048"/>
          </w:tcPr>
          <w:p>
            <w:pPr>
              <w:spacing w:after="0"/>
            </w:pPr>
            <w:r/>
            <w:r>
              <w:rPr>
                <w:b w:val="0"/>
                <w:sz w:val="16"/>
              </w:rPr>
              <w:t>sentiment_score &gt;= +0.30 e gate tecnici passano</w:t>
            </w:r>
          </w:p>
        </w:tc>
        <w:tc>
          <w:tcPr>
            <w:tcW w:type="dxa" w:w="4320"/>
          </w:tcPr>
          <w:p>
            <w:pPr>
              <w:spacing w:after="0"/>
            </w:pPr>
            <w:r/>
            <w:r>
              <w:rPr>
                <w:b w:val="0"/>
                <w:sz w:val="16"/>
              </w:rPr>
              <w:t>LONG_ENTRY</w:t>
            </w:r>
          </w:p>
        </w:tc>
      </w:tr>
      <w:tr>
        <w:tc>
          <w:tcPr>
            <w:tcW w:type="dxa" w:w="6048"/>
          </w:tcPr>
          <w:p>
            <w:pPr>
              <w:spacing w:after="0"/>
            </w:pPr>
            <w:r/>
            <w:r>
              <w:rPr>
                <w:b w:val="0"/>
                <w:sz w:val="16"/>
              </w:rPr>
              <w:t>posizione aperta e sentiment_score &lt;= -0.35</w:t>
            </w:r>
          </w:p>
        </w:tc>
        <w:tc>
          <w:tcPr>
            <w:tcW w:type="dxa" w:w="4320"/>
          </w:tcPr>
          <w:p>
            <w:pPr>
              <w:spacing w:after="0"/>
            </w:pPr>
            <w:r/>
            <w:r>
              <w:rPr>
                <w:b w:val="0"/>
                <w:sz w:val="16"/>
              </w:rPr>
              <w:t>EXIT_LONG</w:t>
            </w:r>
          </w:p>
        </w:tc>
      </w:tr>
      <w:tr>
        <w:tc>
          <w:tcPr>
            <w:tcW w:type="dxa" w:w="6048"/>
          </w:tcPr>
          <w:p>
            <w:pPr>
              <w:spacing w:after="0"/>
            </w:pPr>
            <w:r/>
            <w:r>
              <w:rPr>
                <w:b w:val="0"/>
                <w:sz w:val="16"/>
              </w:rPr>
              <w:t>Kimi/GLM/FinBERT tutti divergenti</w:t>
            </w:r>
          </w:p>
        </w:tc>
        <w:tc>
          <w:tcPr>
            <w:tcW w:type="dxa" w:w="4320"/>
          </w:tcPr>
          <w:p>
            <w:pPr>
              <w:spacing w:after="0"/>
            </w:pPr>
            <w:r/>
            <w:r>
              <w:rPr>
                <w:b w:val="0"/>
                <w:sz w:val="16"/>
              </w:rPr>
              <w:t>NO_TRADE_DIVERGENT_SENTIMENT</w:t>
            </w:r>
          </w:p>
        </w:tc>
      </w:tr>
      <w:tr>
        <w:tc>
          <w:tcPr>
            <w:tcW w:type="dxa" w:w="6048"/>
          </w:tcPr>
          <w:p>
            <w:pPr>
              <w:spacing w:after="0"/>
            </w:pPr>
            <w:r/>
            <w:r>
              <w:rPr>
                <w:b w:val="0"/>
                <w:sz w:val="16"/>
              </w:rPr>
              <w:t>news stale &gt; 30 minuti</w:t>
            </w:r>
          </w:p>
        </w:tc>
        <w:tc>
          <w:tcPr>
            <w:tcW w:type="dxa" w:w="4320"/>
          </w:tcPr>
          <w:p>
            <w:pPr>
              <w:spacing w:after="0"/>
            </w:pPr>
            <w:r/>
            <w:r>
              <w:rPr>
                <w:b w:val="0"/>
                <w:sz w:val="16"/>
              </w:rPr>
              <w:t>SKIP_STALE</w:t>
            </w:r>
          </w:p>
        </w:tc>
      </w:tr>
    </w:tbl>
    <w:p>
      <w:pPr>
        <w:spacing w:after="0"/>
      </w:pPr>
    </w:p>
    <w:p>
      <w:r>
        <w:br w:type="page"/>
      </w:r>
    </w:p>
    <w:p>
      <w:pPr>
        <w:pStyle w:val="Heading1"/>
      </w:pPr>
      <w:r>
        <w:t>13. Fonti consultate</w:t>
      </w:r>
    </w:p>
    <w:p>
      <w:r>
        <w:t>La parte architetturale deriva dalla guida Alembic condivisa nella conversazione. Le fonti esterne servono a verificare capacità dichiarate dei modelli e strumenti di symbology/sentiment.</w:t>
      </w:r>
    </w:p>
    <w:p>
      <w:pPr>
        <w:pStyle w:val="ListBullet"/>
      </w:pPr>
      <w:r>
        <w:rPr>
          <w:b/>
        </w:rPr>
        <w:t xml:space="preserve">Guida Alembic fornita dall'utente: </w:t>
      </w:r>
      <w:r>
        <w:t>Pasted text(6).txt, file caricato nella conversazione, 29 giugno 2026.</w:t>
      </w:r>
    </w:p>
    <w:p>
      <w:pPr>
        <w:pStyle w:val="ListBullet"/>
      </w:pPr>
      <w:r>
        <w:rPr>
          <w:b/>
        </w:rPr>
        <w:t xml:space="preserve">Kimi K2.6 documentation: </w:t>
      </w:r>
      <w:hyperlink r:id="rId9">
        <w:r>
          <w:rPr>
            <w:u w:val="single"/>
            <w:color w:val="0563C1"/>
          </w:rPr>
          <w:t>https://platform.kimi.ai/docs/guide/kimi-k2-6-quickstart</w:t>
        </w:r>
      </w:hyperlink>
    </w:p>
    <w:p>
      <w:pPr>
        <w:pStyle w:val="ListBullet"/>
      </w:pPr>
      <w:r>
        <w:rPr>
          <w:b/>
        </w:rPr>
        <w:t xml:space="preserve">Kimi/Moonshot product page: </w:t>
      </w:r>
      <w:hyperlink r:id="rId10">
        <w:r>
          <w:rPr>
            <w:u w:val="single"/>
            <w:color w:val="0563C1"/>
          </w:rPr>
          <w:t>https://www.moonshot.ai/</w:t>
        </w:r>
      </w:hyperlink>
    </w:p>
    <w:p>
      <w:pPr>
        <w:pStyle w:val="ListBullet"/>
      </w:pPr>
      <w:r>
        <w:rPr>
          <w:b/>
        </w:rPr>
        <w:t xml:space="preserve">GLM-5.2 Z.ai developer documentation: </w:t>
      </w:r>
      <w:hyperlink r:id="rId11">
        <w:r>
          <w:rPr>
            <w:u w:val="single"/>
            <w:color w:val="0563C1"/>
          </w:rPr>
          <w:t>https://docs.z.ai/guides/llm/glm-5.2</w:t>
        </w:r>
      </w:hyperlink>
    </w:p>
    <w:p>
      <w:pPr>
        <w:pStyle w:val="ListBullet"/>
      </w:pPr>
      <w:r>
        <w:rPr>
          <w:b/>
        </w:rPr>
        <w:t xml:space="preserve">Z.ai Model API: </w:t>
      </w:r>
      <w:hyperlink r:id="rId12">
        <w:r>
          <w:rPr>
            <w:u w:val="single"/>
            <w:color w:val="0563C1"/>
          </w:rPr>
          <w:t>https://z.ai/model-api</w:t>
        </w:r>
      </w:hyperlink>
    </w:p>
    <w:p>
      <w:pPr>
        <w:pStyle w:val="ListBullet"/>
      </w:pPr>
      <w:r>
        <w:rPr>
          <w:b/>
        </w:rPr>
        <w:t xml:space="preserve">OpenFIGI API documentation: </w:t>
      </w:r>
      <w:hyperlink r:id="rId13">
        <w:r>
          <w:rPr>
            <w:u w:val="single"/>
            <w:color w:val="0563C1"/>
          </w:rPr>
          <w:t>https://www.openfigi.com/api/documentation</w:t>
        </w:r>
      </w:hyperlink>
    </w:p>
    <w:p>
      <w:pPr>
        <w:pStyle w:val="ListBullet"/>
      </w:pPr>
      <w:r>
        <w:rPr>
          <w:b/>
        </w:rPr>
        <w:t xml:space="preserve">OpenFIGI API overview: </w:t>
      </w:r>
      <w:hyperlink r:id="rId14">
        <w:r>
          <w:rPr>
            <w:u w:val="single"/>
            <w:color w:val="0563C1"/>
          </w:rPr>
          <w:t>https://www.openfigi.com/api/overview</w:t>
        </w:r>
      </w:hyperlink>
    </w:p>
    <w:p>
      <w:pPr>
        <w:pStyle w:val="ListBullet"/>
      </w:pPr>
      <w:r>
        <w:rPr>
          <w:b/>
        </w:rPr>
        <w:t xml:space="preserve">SEC - Accessing EDGAR Data: </w:t>
      </w:r>
      <w:hyperlink r:id="rId15">
        <w:r>
          <w:rPr>
            <w:u w:val="single"/>
            <w:color w:val="0563C1"/>
          </w:rPr>
          <w:t>https://www.sec.gov/search-filings/edgar-search-assistance/accessing-edgar-data</w:t>
        </w:r>
      </w:hyperlink>
    </w:p>
    <w:p>
      <w:pPr>
        <w:pStyle w:val="ListBullet"/>
      </w:pPr>
      <w:r>
        <w:rPr>
          <w:b/>
        </w:rPr>
        <w:t xml:space="preserve">FinBERT: Financial Sentiment Analysis with Pre-trained Language Models: </w:t>
      </w:r>
      <w:hyperlink r:id="rId16">
        <w:r>
          <w:rPr>
            <w:u w:val="single"/>
            <w:color w:val="0563C1"/>
          </w:rPr>
          <w:t>https://arxiv.org/abs/1908.10063</w:t>
        </w:r>
      </w:hyperlink>
    </w:p>
    <w:p>
      <w:pPr>
        <w:pStyle w:val="ListBullet"/>
      </w:pPr>
      <w:r>
        <w:rPr>
          <w:b/>
        </w:rPr>
        <w:t xml:space="preserve">FinBERT: A Pretrained Language Model for Financial Communications: </w:t>
      </w:r>
      <w:hyperlink r:id="rId17">
        <w:r>
          <w:rPr>
            <w:u w:val="single"/>
            <w:color w:val="0563C1"/>
          </w:rPr>
          <w:t>https://arxiv.org/abs/2006.08097</w:t>
        </w:r>
      </w:hyperlink>
    </w:p>
    <w:sectPr w:rsidR="00FC693F" w:rsidRPr="0006063C" w:rsidSect="00034616">
      <w:footerReference w:type="default" r:id="rId1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Alembic S4 - Ticker Resolution e Sentiment Engine | Documento tecnico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ind w:left="216"/>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form.kimi.ai/docs/guide/kimi-k2-6-quickstart" TargetMode="External"/><Relationship Id="rId10" Type="http://schemas.openxmlformats.org/officeDocument/2006/relationships/hyperlink" Target="https://www.moonshot.ai/" TargetMode="External"/><Relationship Id="rId11" Type="http://schemas.openxmlformats.org/officeDocument/2006/relationships/hyperlink" Target="https://docs.z.ai/guides/llm/glm-5.2" TargetMode="External"/><Relationship Id="rId12" Type="http://schemas.openxmlformats.org/officeDocument/2006/relationships/hyperlink" Target="https://z.ai/model-api" TargetMode="External"/><Relationship Id="rId13" Type="http://schemas.openxmlformats.org/officeDocument/2006/relationships/hyperlink" Target="https://www.openfigi.com/api/documentation" TargetMode="External"/><Relationship Id="rId14" Type="http://schemas.openxmlformats.org/officeDocument/2006/relationships/hyperlink" Target="https://www.openfigi.com/api/overview" TargetMode="External"/><Relationship Id="rId15" Type="http://schemas.openxmlformats.org/officeDocument/2006/relationships/hyperlink" Target="https://www.sec.gov/search-filings/edgar-search-assistance/accessing-edgar-data" TargetMode="External"/><Relationship Id="rId16" Type="http://schemas.openxmlformats.org/officeDocument/2006/relationships/hyperlink" Target="https://arxiv.org/abs/1908.10063" TargetMode="External"/><Relationship Id="rId17" Type="http://schemas.openxmlformats.org/officeDocument/2006/relationships/hyperlink" Target="https://arxiv.org/abs/2006.08097"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Alembic S4: Ticker Resolution e Sentiment Engine</dc:title>
  <dc:subject>Documento tecnico per miglioramento ticker extraction e sentiment finanziario</dc:subject>
  <dc:creator>OpenAI</dc:creator>
  <cp:keywords/>
  <dc:description>Creato da ChatGPT su richiesta dell'utente, basato su guida Alembic caricata e fonti tecniche pubbliche.</dc:description>
  <cp:lastModifiedBy/>
  <cp:revision>1</cp:revision>
  <dcterms:created xsi:type="dcterms:W3CDTF">2013-12-23T23:15:00Z</dcterms:created>
  <dcterms:modified xsi:type="dcterms:W3CDTF">2013-12-23T23:15:00Z</dcterms:modified>
  <cp:category/>
</cp:coreProperties>
</file>