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80"/>
        <w:jc w:val="center"/>
      </w:pPr>
      <w:r>
        <w:rPr>
          <w:rFonts w:ascii="Times New Roman" w:hAnsi="Times New Roman"/>
          <w:b/>
          <w:color w:val="1F4E79"/>
          <w:sz w:val="30"/>
        </w:rPr>
        <w:t>CHAPTER FOUR</w:t>
        <w:br/>
        <w:t>IMPLEMENTATION AND DOCUMENTATION</w:t>
      </w:r>
    </w:p>
    <w:p>
      <w:pPr>
        <w:pStyle w:val="Heading1"/>
      </w:pPr>
      <w:r>
        <w:t>4.1 Introduction</w:t>
      </w:r>
    </w:p>
    <w:p>
      <w:pPr>
        <w:widowControl/>
      </w:pPr>
      <w:r>
        <w:rPr>
          <w:i w:val="0"/>
        </w:rPr>
        <w:t>This chapter presents the implemented battery monitoring software prototype, its measured outputs, and verification results. The work uses the Panasonic 18650PF 25 °C drive-cycle data to estimate an approximate state-of-charge (SoC) proxy from voltage, current, battery-case temperature, and elapsed time. It reports model comparison, resource characterization, C export and host-side simulation, followed by system testing and operational guidance. The reported target is a capacity-referenced coulomb-counting proxy, not independently verified physical SoC. No physical sensor, microcontroller, or electrical power test was performed.</w:t>
      </w:r>
    </w:p>
    <w:p>
      <w:pPr>
        <w:pStyle w:val="Heading1"/>
      </w:pPr>
      <w:r>
        <w:t>4.2 Implementation</w:t>
      </w:r>
    </w:p>
    <w:p>
      <w:pPr>
        <w:widowControl/>
      </w:pPr>
      <w:r>
        <w:rPr>
          <w:i w:val="0"/>
        </w:rPr>
        <w:t>The development used Python 3.10.20 with NumPy, pandas, SciPy and scikit-learn for data processing and model experiments, and a C99 compiler for deployment-format inference. The data archive contains one Panasonic 18650PF cell. Ten separate 25 °C drive-cycle runs were prepared at approximately 1 Hz, producing 112,701 rows from 1,126,083 source observations. The proxy was calculated as 100 × [1 + (Ah at sample − Ah at run start) / 2.77493 Ah]. The reference capacity is the mean of two measured 25 °C start-of-tests discharge throughputs (2.79826 Ah and 2.75160 Ah); the measured Ah channel was not supplied as a model input. The public dataset record is identified by DOI 10.17632/wykht8y7tg.1 (Mendeley Data, n.d.).</w:t>
      </w:r>
    </w:p>
    <w:p>
      <w:pPr>
        <w:widowControl/>
      </w:pPr>
      <w:r>
        <w:rPr>
          <w:i w:val="0"/>
        </w:rPr>
        <w:t>Input validation checks finite values, required fields, within-cycle time order, and duplicate cycle/time keys. Model comparisons use a fixed complete-cycle split: seven runs (75,375 samples) for training and three runs (37,326 samples) for testing. The feature scaler is fit on training data only. The selected Random Forest uses 100 trees, at most 128 leaf nodes per tree, and a minimum leaf size of two. A 50-tree Random Forest was retained as a smaller candidate. Both forests were exported as standalone C99 headers and run through a host-compiled CSV simulator.</w:t>
      </w:r>
    </w:p>
    <w:p>
      <w:pPr>
        <w:spacing w:before="20" w:after="60"/>
        <w:jc w:val="center"/>
      </w:pPr>
      <w:r>
        <w:rPr>
          <w:i/>
          <w:sz w:val="18"/>
        </w:rPr>
        <w:t>Figure 4.1. Implementation sequence and data flow</w:t>
      </w:r>
    </w:p>
    <w:tbl>
      <w:tblPr>
        <w:tblStyle w:val="TableGrid"/>
        <w:tblW w:type="auto" w:w="0"/>
        <w:jc w:val="center"/>
        <w:tblLayout w:type="fixed"/>
        <w:tblLook w:firstColumn="1" w:firstRow="1" w:lastColumn="0" w:lastRow="0" w:noHBand="0" w:noVBand="1" w:val="04A0"/>
      </w:tblPr>
      <w:tblGrid>
        <w:gridCol w:w="4939"/>
        <w:gridCol w:w="4939"/>
      </w:tblGrid>
      <w:tr>
        <w:tc>
          <w:tcPr>
            <w:tcW w:type="dxa" w:w="2520"/>
            <w:shd w:fill="D9EAF7"/>
            <w:vAlign w:val="center"/>
            <w:tcMar>
              <w:top w:w="60" w:type="dxa"/>
              <w:start w:w="70" w:type="dxa"/>
              <w:bottom w:w="60" w:type="dxa"/>
              <w:end w:w="70" w:type="dxa"/>
            </w:tcMar>
          </w:tcPr>
          <w:p>
            <w:pPr>
              <w:spacing w:after="20" w:line="240" w:lineRule="auto"/>
            </w:pPr>
            <w:r>
              <w:rPr>
                <w:rFonts w:ascii="Times New Roman" w:hAnsi="Times New Roman"/>
                <w:sz w:val="17"/>
              </w:rPr>
              <w:t>Stage / actor</w:t>
            </w:r>
          </w:p>
        </w:tc>
        <w:tc>
          <w:tcPr>
            <w:tcW w:type="dxa" w:w="7704"/>
            <w:shd w:fill="D9EAF7"/>
            <w:vAlign w:val="center"/>
            <w:tcMar>
              <w:top w:w="60" w:type="dxa"/>
              <w:start w:w="70" w:type="dxa"/>
              <w:bottom w:w="60" w:type="dxa"/>
              <w:end w:w="70" w:type="dxa"/>
            </w:tcMar>
          </w:tcPr>
          <w:p>
            <w:pPr>
              <w:spacing w:after="20" w:line="240" w:lineRule="auto"/>
            </w:pPr>
            <w:r>
              <w:rPr>
                <w:rFonts w:ascii="Times New Roman" w:hAnsi="Times New Roman"/>
                <w:sz w:val="17"/>
              </w:rPr>
              <w:t>Operation and output</w:t>
            </w:r>
          </w:p>
        </w:tc>
      </w:tr>
      <w:tr>
        <w:tc>
          <w:tcPr>
            <w:tcW w:type="dxa" w:w="2520"/>
            <w:vAlign w:val="center"/>
            <w:tcMar>
              <w:top w:w="60" w:type="dxa"/>
              <w:start w:w="70" w:type="dxa"/>
              <w:bottom w:w="60" w:type="dxa"/>
              <w:end w:w="70" w:type="dxa"/>
            </w:tcMar>
          </w:tcPr>
          <w:p>
            <w:pPr>
              <w:spacing w:after="20" w:line="240" w:lineRule="auto"/>
            </w:pPr>
            <w:r>
              <w:rPr>
                <w:rFonts w:ascii="Times New Roman" w:hAnsi="Times New Roman"/>
                <w:sz w:val="17"/>
              </w:rPr>
              <w:t>Measured archive → preparation</w:t>
            </w:r>
          </w:p>
        </w:tc>
        <w:tc>
          <w:tcPr>
            <w:tcW w:type="dxa" w:w="7704"/>
            <w:vAlign w:val="center"/>
            <w:tcMar>
              <w:top w:w="60" w:type="dxa"/>
              <w:start w:w="70" w:type="dxa"/>
              <w:bottom w:w="60" w:type="dxa"/>
              <w:end w:w="70" w:type="dxa"/>
            </w:tcMar>
          </w:tcPr>
          <w:p>
            <w:pPr>
              <w:spacing w:after="20" w:line="240" w:lineRule="auto"/>
            </w:pPr>
            <w:r>
              <w:rPr>
                <w:rFonts w:ascii="Times New Roman" w:hAnsi="Times New Roman"/>
                <w:sz w:val="17"/>
              </w:rPr>
              <w:t>Load the ten separate 25 °C drive-cycle files; validate channels and timestamps; create the capacity-referenced proxy and 1 Hz feature table.</w:t>
            </w:r>
          </w:p>
        </w:tc>
      </w:tr>
      <w:tr>
        <w:tc>
          <w:tcPr>
            <w:tcW w:type="dxa" w:w="2520"/>
            <w:vAlign w:val="center"/>
            <w:tcMar>
              <w:top w:w="60" w:type="dxa"/>
              <w:start w:w="70" w:type="dxa"/>
              <w:bottom w:w="60" w:type="dxa"/>
              <w:end w:w="70" w:type="dxa"/>
            </w:tcMar>
          </w:tcPr>
          <w:p>
            <w:pPr>
              <w:spacing w:after="20" w:line="240" w:lineRule="auto"/>
            </w:pPr>
            <w:r>
              <w:rPr>
                <w:rFonts w:ascii="Times New Roman" w:hAnsi="Times New Roman"/>
                <w:sz w:val="17"/>
              </w:rPr>
              <w:t>Preparation → model evaluation</w:t>
            </w:r>
          </w:p>
        </w:tc>
        <w:tc>
          <w:tcPr>
            <w:tcW w:type="dxa" w:w="7704"/>
            <w:vAlign w:val="center"/>
            <w:tcMar>
              <w:top w:w="60" w:type="dxa"/>
              <w:start w:w="70" w:type="dxa"/>
              <w:bottom w:w="60" w:type="dxa"/>
              <w:end w:w="70" w:type="dxa"/>
            </w:tcMar>
          </w:tcPr>
          <w:p>
            <w:pPr>
              <w:spacing w:after="20" w:line="240" w:lineRule="auto"/>
            </w:pPr>
            <w:r>
              <w:rPr>
                <w:rFonts w:ascii="Times New Roman" w:hAnsi="Times New Roman"/>
                <w:sz w:val="17"/>
              </w:rPr>
              <w:t>Use voltage, current, battery temperature and elapsed time; split by complete cycle; fit preprocessing on training rows; compare regressors on held-out cycles.</w:t>
            </w:r>
          </w:p>
        </w:tc>
      </w:tr>
      <w:tr>
        <w:tc>
          <w:tcPr>
            <w:tcW w:type="dxa" w:w="2520"/>
            <w:vAlign w:val="center"/>
            <w:tcMar>
              <w:top w:w="60" w:type="dxa"/>
              <w:start w:w="70" w:type="dxa"/>
              <w:bottom w:w="60" w:type="dxa"/>
              <w:end w:w="70" w:type="dxa"/>
            </w:tcMar>
          </w:tcPr>
          <w:p>
            <w:pPr>
              <w:spacing w:after="20" w:line="240" w:lineRule="auto"/>
            </w:pPr>
            <w:r>
              <w:rPr>
                <w:rFonts w:ascii="Times New Roman" w:hAnsi="Times New Roman"/>
                <w:sz w:val="17"/>
              </w:rPr>
              <w:t>Model evaluation → C export</w:t>
            </w:r>
          </w:p>
        </w:tc>
        <w:tc>
          <w:tcPr>
            <w:tcW w:type="dxa" w:w="7704"/>
            <w:vAlign w:val="center"/>
            <w:tcMar>
              <w:top w:w="60" w:type="dxa"/>
              <w:start w:w="70" w:type="dxa"/>
              <w:bottom w:w="60" w:type="dxa"/>
              <w:end w:w="70" w:type="dxa"/>
            </w:tcMar>
          </w:tcPr>
          <w:p>
            <w:pPr>
              <w:spacing w:after="20" w:line="240" w:lineRule="auto"/>
            </w:pPr>
            <w:r>
              <w:rPr>
                <w:rFonts w:ascii="Times New Roman" w:hAnsi="Times New Roman"/>
                <w:sz w:val="17"/>
              </w:rPr>
              <w:t>Save selected and reduced Random Forest artifacts; translate tree parameters to C99 headers; compile and compare outputs against Python.</w:t>
            </w:r>
          </w:p>
        </w:tc>
      </w:tr>
      <w:tr>
        <w:tc>
          <w:tcPr>
            <w:tcW w:type="dxa" w:w="2520"/>
            <w:vAlign w:val="center"/>
            <w:tcMar>
              <w:top w:w="60" w:type="dxa"/>
              <w:start w:w="70" w:type="dxa"/>
              <w:bottom w:w="60" w:type="dxa"/>
              <w:end w:w="70" w:type="dxa"/>
            </w:tcMar>
          </w:tcPr>
          <w:p>
            <w:pPr>
              <w:spacing w:after="20" w:line="240" w:lineRule="auto"/>
            </w:pPr>
            <w:r>
              <w:rPr>
                <w:rFonts w:ascii="Times New Roman" w:hAnsi="Times New Roman"/>
                <w:sz w:val="17"/>
              </w:rPr>
              <w:t>User → C simulator → user</w:t>
            </w:r>
          </w:p>
        </w:tc>
        <w:tc>
          <w:tcPr>
            <w:tcW w:type="dxa" w:w="7704"/>
            <w:vAlign w:val="center"/>
            <w:tcMar>
              <w:top w:w="60" w:type="dxa"/>
              <w:start w:w="70" w:type="dxa"/>
              <w:bottom w:w="60" w:type="dxa"/>
              <w:end w:w="70" w:type="dxa"/>
            </w:tcMar>
          </w:tcPr>
          <w:p>
            <w:pPr>
              <w:spacing w:after="20" w:line="240" w:lineRule="auto"/>
            </w:pPr>
            <w:r>
              <w:rPr>
                <w:rFonts w:ascii="Times New Roman" w:hAnsi="Times New Roman"/>
                <w:sz w:val="17"/>
              </w:rPr>
              <w:t>Provide four comma-separated features per row; simulator returns indexed proxy predictions, or reports an error for invalid input/model selection.</w:t>
            </w:r>
          </w:p>
        </w:tc>
      </w:tr>
    </w:tbl>
    <w:p>
      <w:pPr>
        <w:spacing w:after="0"/>
      </w:pPr>
    </w:p>
    <w:p>
      <w:pPr>
        <w:pStyle w:val="Heading1"/>
      </w:pPr>
      <w:r>
        <w:t>4.3 Result</w:t>
      </w:r>
    </w:p>
    <w:p>
      <w:pPr>
        <w:widowControl/>
      </w:pPr>
      <w:r>
        <w:rPr>
          <w:i w:val="0"/>
        </w:rPr>
        <w:t>Results below are reported as observed in the saved experiment outputs. Prediction metrics describe agreement with the derived proxy only. They do not measure error against validated physical SoC.</w:t>
      </w:r>
    </w:p>
    <w:p>
      <w:pPr>
        <w:pStyle w:val="Heading2"/>
      </w:pPr>
      <w:r>
        <w:t>4.3.1 Testcase 1: Comparison of regression models</w:t>
      </w:r>
    </w:p>
    <w:p>
      <w:pPr>
        <w:widowControl/>
      </w:pPr>
      <w:r>
        <w:rPr>
          <w:i w:val="0"/>
        </w:rPr>
        <w:t>The three regressors were evaluated on the same 37,326 held-out samples from Cycle 2, Cycle 4, and LA92. Lower MAE and RMSE indicate closer agreement with the proxy; higher R² indicates more variation in the proxy was explained on this split.</w:t>
      </w:r>
    </w:p>
    <w:p>
      <w:pPr>
        <w:spacing w:before="20" w:after="60"/>
        <w:jc w:val="center"/>
      </w:pPr>
      <w:r>
        <w:rPr>
          <w:i/>
          <w:sz w:val="18"/>
        </w:rPr>
        <w:t>Table 4.1. Fixed complete-cycle holdout comparison</w:t>
      </w:r>
    </w:p>
    <w:tbl>
      <w:tblPr>
        <w:tblStyle w:val="TableGrid"/>
        <w:tblW w:type="auto" w:w="0"/>
        <w:jc w:val="center"/>
        <w:tblLayout w:type="fixed"/>
        <w:tblLook w:firstColumn="1" w:firstRow="1" w:lastColumn="0" w:lastRow="0" w:noHBand="0" w:noVBand="1" w:val="04A0"/>
      </w:tblPr>
      <w:tblGrid>
        <w:gridCol w:w="2469"/>
        <w:gridCol w:w="2469"/>
        <w:gridCol w:w="2469"/>
        <w:gridCol w:w="2469"/>
      </w:tblGrid>
      <w:tr>
        <w:tc>
          <w:tcPr>
            <w:tcW w:type="dxa" w:w="3096"/>
            <w:shd w:fill="D9EAF7"/>
            <w:vAlign w:val="center"/>
            <w:tcMar>
              <w:top w:w="60" w:type="dxa"/>
              <w:start w:w="70" w:type="dxa"/>
              <w:bottom w:w="60" w:type="dxa"/>
              <w:end w:w="70" w:type="dxa"/>
            </w:tcMar>
          </w:tcPr>
          <w:p>
            <w:pPr>
              <w:spacing w:after="20" w:line="240" w:lineRule="auto"/>
            </w:pPr>
            <w:r>
              <w:rPr>
                <w:rFonts w:ascii="Times New Roman" w:hAnsi="Times New Roman"/>
                <w:sz w:val="18"/>
              </w:rPr>
              <w:t>Model</w:t>
            </w:r>
          </w:p>
        </w:tc>
        <w:tc>
          <w:tcPr>
            <w:tcW w:type="dxa" w:w="2520"/>
            <w:shd w:fill="D9EAF7"/>
            <w:vAlign w:val="center"/>
            <w:tcMar>
              <w:top w:w="60" w:type="dxa"/>
              <w:start w:w="70" w:type="dxa"/>
              <w:bottom w:w="60" w:type="dxa"/>
              <w:end w:w="70" w:type="dxa"/>
            </w:tcMar>
          </w:tcPr>
          <w:p>
            <w:pPr>
              <w:spacing w:after="20" w:line="240" w:lineRule="auto"/>
            </w:pPr>
            <w:r>
              <w:rPr>
                <w:rFonts w:ascii="Times New Roman" w:hAnsi="Times New Roman"/>
                <w:sz w:val="18"/>
              </w:rPr>
              <w:t>MAE (percentage points)</w:t>
            </w:r>
          </w:p>
        </w:tc>
        <w:tc>
          <w:tcPr>
            <w:tcW w:type="dxa" w:w="2664"/>
            <w:shd w:fill="D9EAF7"/>
            <w:vAlign w:val="center"/>
            <w:tcMar>
              <w:top w:w="60" w:type="dxa"/>
              <w:start w:w="70" w:type="dxa"/>
              <w:bottom w:w="60" w:type="dxa"/>
              <w:end w:w="70" w:type="dxa"/>
            </w:tcMar>
          </w:tcPr>
          <w:p>
            <w:pPr>
              <w:spacing w:after="20" w:line="240" w:lineRule="auto"/>
            </w:pPr>
            <w:r>
              <w:rPr>
                <w:rFonts w:ascii="Times New Roman" w:hAnsi="Times New Roman"/>
                <w:sz w:val="18"/>
              </w:rPr>
              <w:t>RMSE (percentage points)</w:t>
            </w:r>
          </w:p>
        </w:tc>
        <w:tc>
          <w:tcPr>
            <w:tcW w:type="dxa" w:w="1152"/>
            <w:shd w:fill="D9EAF7"/>
            <w:vAlign w:val="center"/>
            <w:tcMar>
              <w:top w:w="60" w:type="dxa"/>
              <w:start w:w="70" w:type="dxa"/>
              <w:bottom w:w="60" w:type="dxa"/>
              <w:end w:w="70" w:type="dxa"/>
            </w:tcMar>
          </w:tcPr>
          <w:p>
            <w:pPr>
              <w:spacing w:after="20" w:line="240" w:lineRule="auto"/>
            </w:pPr>
            <w:r>
              <w:rPr>
                <w:rFonts w:ascii="Times New Roman" w:hAnsi="Times New Roman"/>
                <w:sz w:val="18"/>
              </w:rPr>
              <w:t>R²</w:t>
            </w:r>
          </w:p>
        </w:tc>
      </w:tr>
      <w:tr>
        <w:tc>
          <w:tcPr>
            <w:tcW w:type="dxa" w:w="3096"/>
            <w:vAlign w:val="center"/>
            <w:tcMar>
              <w:top w:w="60" w:type="dxa"/>
              <w:start w:w="70" w:type="dxa"/>
              <w:bottom w:w="60" w:type="dxa"/>
              <w:end w:w="70" w:type="dxa"/>
            </w:tcMar>
          </w:tcPr>
          <w:p>
            <w:pPr>
              <w:spacing w:after="20" w:line="240" w:lineRule="auto"/>
            </w:pPr>
            <w:r>
              <w:rPr>
                <w:rFonts w:ascii="Times New Roman" w:hAnsi="Times New Roman"/>
                <w:sz w:val="18"/>
              </w:rPr>
              <w:t>Ridge Regression</w:t>
            </w:r>
          </w:p>
        </w:tc>
        <w:tc>
          <w:tcPr>
            <w:tcW w:type="dxa" w:w="2520"/>
            <w:vAlign w:val="center"/>
            <w:tcMar>
              <w:top w:w="60" w:type="dxa"/>
              <w:start w:w="70" w:type="dxa"/>
              <w:bottom w:w="60" w:type="dxa"/>
              <w:end w:w="70" w:type="dxa"/>
            </w:tcMar>
          </w:tcPr>
          <w:p>
            <w:pPr>
              <w:spacing w:after="20" w:line="240" w:lineRule="auto"/>
            </w:pPr>
            <w:r>
              <w:rPr>
                <w:rFonts w:ascii="Times New Roman" w:hAnsi="Times New Roman"/>
                <w:sz w:val="18"/>
              </w:rPr>
              <w:t>3.1264</w:t>
            </w:r>
          </w:p>
        </w:tc>
        <w:tc>
          <w:tcPr>
            <w:tcW w:type="dxa" w:w="2664"/>
            <w:vAlign w:val="center"/>
            <w:tcMar>
              <w:top w:w="60" w:type="dxa"/>
              <w:start w:w="70" w:type="dxa"/>
              <w:bottom w:w="60" w:type="dxa"/>
              <w:end w:w="70" w:type="dxa"/>
            </w:tcMar>
          </w:tcPr>
          <w:p>
            <w:pPr>
              <w:spacing w:after="20" w:line="240" w:lineRule="auto"/>
            </w:pPr>
            <w:r>
              <w:rPr>
                <w:rFonts w:ascii="Times New Roman" w:hAnsi="Times New Roman"/>
                <w:sz w:val="18"/>
              </w:rPr>
              <w:t>5.0750</w:t>
            </w:r>
          </w:p>
        </w:tc>
        <w:tc>
          <w:tcPr>
            <w:tcW w:type="dxa" w:w="1152"/>
            <w:vAlign w:val="center"/>
            <w:tcMar>
              <w:top w:w="60" w:type="dxa"/>
              <w:start w:w="70" w:type="dxa"/>
              <w:bottom w:w="60" w:type="dxa"/>
              <w:end w:w="70" w:type="dxa"/>
            </w:tcMar>
          </w:tcPr>
          <w:p>
            <w:pPr>
              <w:spacing w:after="20" w:line="240" w:lineRule="auto"/>
            </w:pPr>
            <w:r>
              <w:rPr>
                <w:rFonts w:ascii="Times New Roman" w:hAnsi="Times New Roman"/>
                <w:sz w:val="18"/>
              </w:rPr>
              <w:t>0.9700</w:t>
            </w:r>
          </w:p>
        </w:tc>
      </w:tr>
      <w:tr>
        <w:tc>
          <w:tcPr>
            <w:tcW w:type="dxa" w:w="3096"/>
            <w:vAlign w:val="center"/>
            <w:tcMar>
              <w:top w:w="60" w:type="dxa"/>
              <w:start w:w="70" w:type="dxa"/>
              <w:bottom w:w="60" w:type="dxa"/>
              <w:end w:w="70" w:type="dxa"/>
            </w:tcMar>
          </w:tcPr>
          <w:p>
            <w:pPr>
              <w:spacing w:after="20" w:line="240" w:lineRule="auto"/>
            </w:pPr>
            <w:r>
              <w:rPr>
                <w:rFonts w:ascii="Times New Roman" w:hAnsi="Times New Roman"/>
                <w:sz w:val="18"/>
              </w:rPr>
              <w:t>Random Forest (100 trees)</w:t>
            </w:r>
          </w:p>
        </w:tc>
        <w:tc>
          <w:tcPr>
            <w:tcW w:type="dxa" w:w="2520"/>
            <w:vAlign w:val="center"/>
            <w:tcMar>
              <w:top w:w="60" w:type="dxa"/>
              <w:start w:w="70" w:type="dxa"/>
              <w:bottom w:w="60" w:type="dxa"/>
              <w:end w:w="70" w:type="dxa"/>
            </w:tcMar>
          </w:tcPr>
          <w:p>
            <w:pPr>
              <w:spacing w:after="20" w:line="240" w:lineRule="auto"/>
            </w:pPr>
            <w:r>
              <w:rPr>
                <w:rFonts w:ascii="Times New Roman" w:hAnsi="Times New Roman"/>
                <w:sz w:val="18"/>
              </w:rPr>
              <w:t>2.2584</w:t>
            </w:r>
          </w:p>
        </w:tc>
        <w:tc>
          <w:tcPr>
            <w:tcW w:type="dxa" w:w="2664"/>
            <w:vAlign w:val="center"/>
            <w:tcMar>
              <w:top w:w="60" w:type="dxa"/>
              <w:start w:w="70" w:type="dxa"/>
              <w:bottom w:w="60" w:type="dxa"/>
              <w:end w:w="70" w:type="dxa"/>
            </w:tcMar>
          </w:tcPr>
          <w:p>
            <w:pPr>
              <w:spacing w:after="20" w:line="240" w:lineRule="auto"/>
            </w:pPr>
            <w:r>
              <w:rPr>
                <w:rFonts w:ascii="Times New Roman" w:hAnsi="Times New Roman"/>
                <w:sz w:val="18"/>
              </w:rPr>
              <w:t>3.0700</w:t>
            </w:r>
          </w:p>
        </w:tc>
        <w:tc>
          <w:tcPr>
            <w:tcW w:type="dxa" w:w="1152"/>
            <w:vAlign w:val="center"/>
            <w:tcMar>
              <w:top w:w="60" w:type="dxa"/>
              <w:start w:w="70" w:type="dxa"/>
              <w:bottom w:w="60" w:type="dxa"/>
              <w:end w:w="70" w:type="dxa"/>
            </w:tcMar>
          </w:tcPr>
          <w:p>
            <w:pPr>
              <w:spacing w:after="20" w:line="240" w:lineRule="auto"/>
            </w:pPr>
            <w:r>
              <w:rPr>
                <w:rFonts w:ascii="Times New Roman" w:hAnsi="Times New Roman"/>
                <w:sz w:val="18"/>
              </w:rPr>
              <w:t>0.9890</w:t>
            </w:r>
          </w:p>
        </w:tc>
      </w:tr>
      <w:tr>
        <w:tc>
          <w:tcPr>
            <w:tcW w:type="dxa" w:w="3096"/>
            <w:vAlign w:val="center"/>
            <w:tcMar>
              <w:top w:w="60" w:type="dxa"/>
              <w:start w:w="70" w:type="dxa"/>
              <w:bottom w:w="60" w:type="dxa"/>
              <w:end w:w="70" w:type="dxa"/>
            </w:tcMar>
          </w:tcPr>
          <w:p>
            <w:pPr>
              <w:spacing w:after="20" w:line="240" w:lineRule="auto"/>
            </w:pPr>
            <w:r>
              <w:rPr>
                <w:rFonts w:ascii="Times New Roman" w:hAnsi="Times New Roman"/>
                <w:sz w:val="18"/>
              </w:rPr>
              <w:t>Extra Trees</w:t>
            </w:r>
          </w:p>
        </w:tc>
        <w:tc>
          <w:tcPr>
            <w:tcW w:type="dxa" w:w="2520"/>
            <w:vAlign w:val="center"/>
            <w:tcMar>
              <w:top w:w="60" w:type="dxa"/>
              <w:start w:w="70" w:type="dxa"/>
              <w:bottom w:w="60" w:type="dxa"/>
              <w:end w:w="70" w:type="dxa"/>
            </w:tcMar>
          </w:tcPr>
          <w:p>
            <w:pPr>
              <w:spacing w:after="20" w:line="240" w:lineRule="auto"/>
            </w:pPr>
            <w:r>
              <w:rPr>
                <w:rFonts w:ascii="Times New Roman" w:hAnsi="Times New Roman"/>
                <w:sz w:val="18"/>
              </w:rPr>
              <w:t>3.2223</w:t>
            </w:r>
          </w:p>
        </w:tc>
        <w:tc>
          <w:tcPr>
            <w:tcW w:type="dxa" w:w="2664"/>
            <w:vAlign w:val="center"/>
            <w:tcMar>
              <w:top w:w="60" w:type="dxa"/>
              <w:start w:w="70" w:type="dxa"/>
              <w:bottom w:w="60" w:type="dxa"/>
              <w:end w:w="70" w:type="dxa"/>
            </w:tcMar>
          </w:tcPr>
          <w:p>
            <w:pPr>
              <w:spacing w:after="20" w:line="240" w:lineRule="auto"/>
            </w:pPr>
            <w:r>
              <w:rPr>
                <w:rFonts w:ascii="Times New Roman" w:hAnsi="Times New Roman"/>
                <w:sz w:val="18"/>
              </w:rPr>
              <w:t>4.3091</w:t>
            </w:r>
          </w:p>
        </w:tc>
        <w:tc>
          <w:tcPr>
            <w:tcW w:type="dxa" w:w="1152"/>
            <w:vAlign w:val="center"/>
            <w:tcMar>
              <w:top w:w="60" w:type="dxa"/>
              <w:start w:w="70" w:type="dxa"/>
              <w:bottom w:w="60" w:type="dxa"/>
              <w:end w:w="70" w:type="dxa"/>
            </w:tcMar>
          </w:tcPr>
          <w:p>
            <w:pPr>
              <w:spacing w:after="20" w:line="240" w:lineRule="auto"/>
            </w:pPr>
            <w:r>
              <w:rPr>
                <w:rFonts w:ascii="Times New Roman" w:hAnsi="Times New Roman"/>
                <w:sz w:val="18"/>
              </w:rPr>
              <w:t>0.9784</w:t>
            </w:r>
          </w:p>
        </w:tc>
      </w:tr>
    </w:tbl>
    <w:p>
      <w:pPr>
        <w:spacing w:after="0"/>
      </w:pPr>
    </w:p>
    <w:p>
      <w:pPr>
        <w:widowControl/>
      </w:pPr>
      <w:r>
        <w:rPr>
          <w:i w:val="0"/>
        </w:rPr>
        <w:t>The Random Forest recorded the lowest aggregate MAE and RMSE of the three candidates on this split and was retained as the provisional selected baseline.</w:t>
      </w:r>
    </w:p>
    <w:p>
      <w:pPr>
        <w:pStyle w:val="Heading2"/>
      </w:pPr>
      <w:r>
        <w:t>4.3.2 Testcase 2: Reduced Random Forest and host resource results</w:t>
      </w:r>
    </w:p>
    <w:p>
      <w:pPr>
        <w:widowControl/>
      </w:pPr>
      <w:r>
        <w:rPr>
          <w:i w:val="0"/>
        </w:rPr>
        <w:t>The 50-tree candidate was compared with the selected 100-tree model using the same cycles. Measurements below are host-computer software results; they are not microcontroller measurements.</w:t>
      </w:r>
    </w:p>
    <w:p>
      <w:pPr>
        <w:spacing w:before="20" w:after="60"/>
        <w:jc w:val="center"/>
      </w:pPr>
      <w:r>
        <w:rPr>
          <w:i/>
          <w:sz w:val="18"/>
        </w:rPr>
        <w:t>Table 4.2. Accuracy and resource comparison</w:t>
      </w:r>
    </w:p>
    <w:tbl>
      <w:tblPr>
        <w:tblStyle w:val="TableGrid"/>
        <w:tblW w:type="auto" w:w="0"/>
        <w:jc w:val="center"/>
        <w:tblLayout w:type="fixed"/>
        <w:tblLook w:firstColumn="1" w:firstRow="1" w:lastColumn="0" w:lastRow="0" w:noHBand="0" w:noVBand="1" w:val="04A0"/>
      </w:tblPr>
      <w:tblGrid>
        <w:gridCol w:w="3293"/>
        <w:gridCol w:w="3293"/>
        <w:gridCol w:w="3293"/>
      </w:tblGrid>
      <w:tr>
        <w:tc>
          <w:tcPr>
            <w:tcW w:type="dxa" w:w="2880"/>
            <w:shd w:fill="D9EAF7"/>
            <w:vAlign w:val="center"/>
            <w:tcMar>
              <w:top w:w="60" w:type="dxa"/>
              <w:start w:w="70" w:type="dxa"/>
              <w:bottom w:w="60" w:type="dxa"/>
              <w:end w:w="70" w:type="dxa"/>
            </w:tcMar>
          </w:tcPr>
          <w:p>
            <w:pPr>
              <w:spacing w:after="20" w:line="240" w:lineRule="auto"/>
            </w:pPr>
            <w:r>
              <w:rPr>
                <w:rFonts w:ascii="Times New Roman" w:hAnsi="Times New Roman"/>
                <w:sz w:val="17"/>
              </w:rPr>
              <w:t>Measure</w:t>
            </w:r>
          </w:p>
        </w:tc>
        <w:tc>
          <w:tcPr>
            <w:tcW w:type="dxa" w:w="3600"/>
            <w:shd w:fill="D9EAF7"/>
            <w:vAlign w:val="center"/>
            <w:tcMar>
              <w:top w:w="60" w:type="dxa"/>
              <w:start w:w="70" w:type="dxa"/>
              <w:bottom w:w="60" w:type="dxa"/>
              <w:end w:w="70" w:type="dxa"/>
            </w:tcMar>
          </w:tcPr>
          <w:p>
            <w:pPr>
              <w:spacing w:after="20" w:line="240" w:lineRule="auto"/>
            </w:pPr>
            <w:r>
              <w:rPr>
                <w:rFonts w:ascii="Times New Roman" w:hAnsi="Times New Roman"/>
                <w:sz w:val="17"/>
              </w:rPr>
              <w:t>100-tree selected model</w:t>
            </w:r>
          </w:p>
        </w:tc>
        <w:tc>
          <w:tcPr>
            <w:tcW w:type="dxa" w:w="3600"/>
            <w:shd w:fill="D9EAF7"/>
            <w:vAlign w:val="center"/>
            <w:tcMar>
              <w:top w:w="60" w:type="dxa"/>
              <w:start w:w="70" w:type="dxa"/>
              <w:bottom w:w="60" w:type="dxa"/>
              <w:end w:w="70" w:type="dxa"/>
            </w:tcMar>
          </w:tcPr>
          <w:p>
            <w:pPr>
              <w:spacing w:after="20" w:line="240" w:lineRule="auto"/>
            </w:pPr>
            <w:r>
              <w:rPr>
                <w:rFonts w:ascii="Times New Roman" w:hAnsi="Times New Roman"/>
                <w:sz w:val="17"/>
              </w:rPr>
              <w:t>50-tree candidate</w:t>
            </w:r>
          </w:p>
        </w:tc>
      </w:tr>
      <w:tr>
        <w:tc>
          <w:tcPr>
            <w:tcW w:type="dxa" w:w="2880"/>
            <w:vAlign w:val="center"/>
            <w:tcMar>
              <w:top w:w="60" w:type="dxa"/>
              <w:start w:w="70" w:type="dxa"/>
              <w:bottom w:w="60" w:type="dxa"/>
              <w:end w:w="70" w:type="dxa"/>
            </w:tcMar>
          </w:tcPr>
          <w:p>
            <w:pPr>
              <w:spacing w:after="20" w:line="240" w:lineRule="auto"/>
            </w:pPr>
            <w:r>
              <w:rPr>
                <w:rFonts w:ascii="Times New Roman" w:hAnsi="Times New Roman"/>
                <w:sz w:val="17"/>
              </w:rPr>
              <w:t>Held-out proxy MAE</w:t>
            </w:r>
          </w:p>
        </w:tc>
        <w:tc>
          <w:tcPr>
            <w:tcW w:type="dxa" w:w="3600"/>
            <w:vAlign w:val="center"/>
            <w:tcMar>
              <w:top w:w="60" w:type="dxa"/>
              <w:start w:w="70" w:type="dxa"/>
              <w:bottom w:w="60" w:type="dxa"/>
              <w:end w:w="70" w:type="dxa"/>
            </w:tcMar>
          </w:tcPr>
          <w:p>
            <w:pPr>
              <w:spacing w:after="20" w:line="240" w:lineRule="auto"/>
            </w:pPr>
            <w:r>
              <w:rPr>
                <w:rFonts w:ascii="Times New Roman" w:hAnsi="Times New Roman"/>
                <w:sz w:val="17"/>
              </w:rPr>
              <w:t>2.2584 percentage points</w:t>
            </w:r>
          </w:p>
        </w:tc>
        <w:tc>
          <w:tcPr>
            <w:tcW w:type="dxa" w:w="3600"/>
            <w:vAlign w:val="center"/>
            <w:tcMar>
              <w:top w:w="60" w:type="dxa"/>
              <w:start w:w="70" w:type="dxa"/>
              <w:bottom w:w="60" w:type="dxa"/>
              <w:end w:w="70" w:type="dxa"/>
            </w:tcMar>
          </w:tcPr>
          <w:p>
            <w:pPr>
              <w:spacing w:after="20" w:line="240" w:lineRule="auto"/>
            </w:pPr>
            <w:r>
              <w:rPr>
                <w:rFonts w:ascii="Times New Roman" w:hAnsi="Times New Roman"/>
                <w:sz w:val="17"/>
              </w:rPr>
              <w:t>2.2950 percentage points</w:t>
            </w:r>
          </w:p>
        </w:tc>
      </w:tr>
      <w:tr>
        <w:tc>
          <w:tcPr>
            <w:tcW w:type="dxa" w:w="2880"/>
            <w:vAlign w:val="center"/>
            <w:tcMar>
              <w:top w:w="60" w:type="dxa"/>
              <w:start w:w="70" w:type="dxa"/>
              <w:bottom w:w="60" w:type="dxa"/>
              <w:end w:w="70" w:type="dxa"/>
            </w:tcMar>
          </w:tcPr>
          <w:p>
            <w:pPr>
              <w:spacing w:after="20" w:line="240" w:lineRule="auto"/>
            </w:pPr>
            <w:r>
              <w:rPr>
                <w:rFonts w:ascii="Times New Roman" w:hAnsi="Times New Roman"/>
                <w:sz w:val="17"/>
              </w:rPr>
              <w:t>Joblib model size</w:t>
            </w:r>
          </w:p>
        </w:tc>
        <w:tc>
          <w:tcPr>
            <w:tcW w:type="dxa" w:w="3600"/>
            <w:vAlign w:val="center"/>
            <w:tcMar>
              <w:top w:w="60" w:type="dxa"/>
              <w:start w:w="70" w:type="dxa"/>
              <w:bottom w:w="60" w:type="dxa"/>
              <w:end w:w="70" w:type="dxa"/>
            </w:tcMar>
          </w:tcPr>
          <w:p>
            <w:pPr>
              <w:spacing w:after="20" w:line="240" w:lineRule="auto"/>
            </w:pPr>
            <w:r>
              <w:rPr>
                <w:rFonts w:ascii="Times New Roman" w:hAnsi="Times New Roman"/>
                <w:sz w:val="17"/>
              </w:rPr>
              <w:t>1,868,529 bytes</w:t>
            </w:r>
          </w:p>
        </w:tc>
        <w:tc>
          <w:tcPr>
            <w:tcW w:type="dxa" w:w="3600"/>
            <w:vAlign w:val="center"/>
            <w:tcMar>
              <w:top w:w="60" w:type="dxa"/>
              <w:start w:w="70" w:type="dxa"/>
              <w:bottom w:w="60" w:type="dxa"/>
              <w:end w:w="70" w:type="dxa"/>
            </w:tcMar>
          </w:tcPr>
          <w:p>
            <w:pPr>
              <w:spacing w:after="20" w:line="240" w:lineRule="auto"/>
            </w:pPr>
            <w:r>
              <w:rPr>
                <w:rFonts w:ascii="Times New Roman" w:hAnsi="Times New Roman"/>
                <w:sz w:val="17"/>
              </w:rPr>
              <w:t>934,929 bytes</w:t>
            </w:r>
          </w:p>
        </w:tc>
      </w:tr>
      <w:tr>
        <w:tc>
          <w:tcPr>
            <w:tcW w:type="dxa" w:w="2880"/>
            <w:vAlign w:val="center"/>
            <w:tcMar>
              <w:top w:w="60" w:type="dxa"/>
              <w:start w:w="70" w:type="dxa"/>
              <w:bottom w:w="60" w:type="dxa"/>
              <w:end w:w="70" w:type="dxa"/>
            </w:tcMar>
          </w:tcPr>
          <w:p>
            <w:pPr>
              <w:spacing w:after="20" w:line="240" w:lineRule="auto"/>
            </w:pPr>
            <w:r>
              <w:rPr>
                <w:rFonts w:ascii="Times New Roman" w:hAnsi="Times New Roman"/>
                <w:sz w:val="17"/>
              </w:rPr>
              <w:t>C header size</w:t>
            </w:r>
          </w:p>
        </w:tc>
        <w:tc>
          <w:tcPr>
            <w:tcW w:type="dxa" w:w="3600"/>
            <w:vAlign w:val="center"/>
            <w:tcMar>
              <w:top w:w="60" w:type="dxa"/>
              <w:start w:w="70" w:type="dxa"/>
              <w:bottom w:w="60" w:type="dxa"/>
              <w:end w:w="70" w:type="dxa"/>
            </w:tcMar>
          </w:tcPr>
          <w:p>
            <w:pPr>
              <w:spacing w:after="20" w:line="240" w:lineRule="auto"/>
            </w:pPr>
            <w:r>
              <w:rPr>
                <w:rFonts w:ascii="Times New Roman" w:hAnsi="Times New Roman"/>
                <w:sz w:val="17"/>
              </w:rPr>
              <w:t>1,210,081 bytes</w:t>
            </w:r>
          </w:p>
        </w:tc>
        <w:tc>
          <w:tcPr>
            <w:tcW w:type="dxa" w:w="3600"/>
            <w:vAlign w:val="center"/>
            <w:tcMar>
              <w:top w:w="60" w:type="dxa"/>
              <w:start w:w="70" w:type="dxa"/>
              <w:bottom w:w="60" w:type="dxa"/>
              <w:end w:w="70" w:type="dxa"/>
            </w:tcMar>
          </w:tcPr>
          <w:p>
            <w:pPr>
              <w:spacing w:after="20" w:line="240" w:lineRule="auto"/>
            </w:pPr>
            <w:r>
              <w:rPr>
                <w:rFonts w:ascii="Times New Roman" w:hAnsi="Times New Roman"/>
                <w:sz w:val="17"/>
              </w:rPr>
              <w:t>606,478 bytes</w:t>
            </w:r>
          </w:p>
        </w:tc>
      </w:tr>
      <w:tr>
        <w:tc>
          <w:tcPr>
            <w:tcW w:type="dxa" w:w="2880"/>
            <w:vAlign w:val="center"/>
            <w:tcMar>
              <w:top w:w="60" w:type="dxa"/>
              <w:start w:w="70" w:type="dxa"/>
              <w:bottom w:w="60" w:type="dxa"/>
              <w:end w:w="70" w:type="dxa"/>
            </w:tcMar>
          </w:tcPr>
          <w:p>
            <w:pPr>
              <w:spacing w:after="20" w:line="240" w:lineRule="auto"/>
            </w:pPr>
            <w:r>
              <w:rPr>
                <w:rFonts w:ascii="Times New Roman" w:hAnsi="Times New Roman"/>
                <w:sz w:val="17"/>
              </w:rPr>
              <w:t>Median latency, batch of 32</w:t>
            </w:r>
          </w:p>
        </w:tc>
        <w:tc>
          <w:tcPr>
            <w:tcW w:type="dxa" w:w="3600"/>
            <w:vAlign w:val="center"/>
            <w:tcMar>
              <w:top w:w="60" w:type="dxa"/>
              <w:start w:w="70" w:type="dxa"/>
              <w:bottom w:w="60" w:type="dxa"/>
              <w:end w:w="70" w:type="dxa"/>
            </w:tcMar>
          </w:tcPr>
          <w:p>
            <w:pPr>
              <w:spacing w:after="20" w:line="240" w:lineRule="auto"/>
            </w:pPr>
            <w:r>
              <w:rPr>
                <w:rFonts w:ascii="Times New Roman" w:hAnsi="Times New Roman"/>
                <w:sz w:val="17"/>
              </w:rPr>
              <w:t>38.69 ms per batch</w:t>
            </w:r>
          </w:p>
        </w:tc>
        <w:tc>
          <w:tcPr>
            <w:tcW w:type="dxa" w:w="3600"/>
            <w:vAlign w:val="center"/>
            <w:tcMar>
              <w:top w:w="60" w:type="dxa"/>
              <w:start w:w="70" w:type="dxa"/>
              <w:bottom w:w="60" w:type="dxa"/>
              <w:end w:w="70" w:type="dxa"/>
            </w:tcMar>
          </w:tcPr>
          <w:p>
            <w:pPr>
              <w:spacing w:after="20" w:line="240" w:lineRule="auto"/>
            </w:pPr>
            <w:r>
              <w:rPr>
                <w:rFonts w:ascii="Times New Roman" w:hAnsi="Times New Roman"/>
                <w:sz w:val="17"/>
              </w:rPr>
              <w:t>24.91 ms per batch</w:t>
            </w:r>
          </w:p>
        </w:tc>
      </w:tr>
      <w:tr>
        <w:tc>
          <w:tcPr>
            <w:tcW w:type="dxa" w:w="2880"/>
            <w:vAlign w:val="center"/>
            <w:tcMar>
              <w:top w:w="60" w:type="dxa"/>
              <w:start w:w="70" w:type="dxa"/>
              <w:bottom w:w="60" w:type="dxa"/>
              <w:end w:w="70" w:type="dxa"/>
            </w:tcMar>
          </w:tcPr>
          <w:p>
            <w:pPr>
              <w:spacing w:after="20" w:line="240" w:lineRule="auto"/>
            </w:pPr>
            <w:r>
              <w:rPr>
                <w:rFonts w:ascii="Times New Roman" w:hAnsi="Times New Roman"/>
                <w:sz w:val="17"/>
              </w:rPr>
              <w:t>Median latency, batch of 256</w:t>
            </w:r>
          </w:p>
        </w:tc>
        <w:tc>
          <w:tcPr>
            <w:tcW w:type="dxa" w:w="3600"/>
            <w:vAlign w:val="center"/>
            <w:tcMar>
              <w:top w:w="60" w:type="dxa"/>
              <w:start w:w="70" w:type="dxa"/>
              <w:bottom w:w="60" w:type="dxa"/>
              <w:end w:w="70" w:type="dxa"/>
            </w:tcMar>
          </w:tcPr>
          <w:p>
            <w:pPr>
              <w:spacing w:after="20" w:line="240" w:lineRule="auto"/>
            </w:pPr>
            <w:r>
              <w:rPr>
                <w:rFonts w:ascii="Times New Roman" w:hAnsi="Times New Roman"/>
                <w:sz w:val="17"/>
              </w:rPr>
              <w:t>47.72 ms per batch</w:t>
            </w:r>
          </w:p>
        </w:tc>
        <w:tc>
          <w:tcPr>
            <w:tcW w:type="dxa" w:w="3600"/>
            <w:vAlign w:val="center"/>
            <w:tcMar>
              <w:top w:w="60" w:type="dxa"/>
              <w:start w:w="70" w:type="dxa"/>
              <w:bottom w:w="60" w:type="dxa"/>
              <w:end w:w="70" w:type="dxa"/>
            </w:tcMar>
          </w:tcPr>
          <w:p>
            <w:pPr>
              <w:spacing w:after="20" w:line="240" w:lineRule="auto"/>
            </w:pPr>
            <w:r>
              <w:rPr>
                <w:rFonts w:ascii="Times New Roman" w:hAnsi="Times New Roman"/>
                <w:sz w:val="17"/>
              </w:rPr>
              <w:t>25.34 ms per batch</w:t>
            </w:r>
          </w:p>
        </w:tc>
      </w:tr>
    </w:tbl>
    <w:p>
      <w:pPr>
        <w:spacing w:after="0"/>
      </w:pPr>
    </w:p>
    <w:p>
      <w:pPr>
        <w:widowControl/>
      </w:pPr>
      <w:r>
        <w:rPr>
          <w:i w:val="0"/>
        </w:rPr>
        <w:t>The 50-tree artifact was about 50.0% smaller on disk than the selected 100-tree artifact. Its measured MAE was higher by about 0.0366 percentage points on the shared holdout. Batch timing was measured on an Intel Core i5-4210U Linux host, with model.predict timed after warm-up. Process RSS includes Python, scientific libraries, input data and runtime overhead; it is not a model-only memory estimate.</w:t>
      </w:r>
    </w:p>
    <w:p>
      <w:pPr>
        <w:pStyle w:val="Heading2"/>
      </w:pPr>
      <w:r>
        <w:t>4.3.3 Testcase 3: C99 export and simulator output</w:t>
      </w:r>
    </w:p>
    <w:p>
      <w:pPr>
        <w:widowControl/>
      </w:pPr>
      <w:r>
        <w:rPr>
          <w:i w:val="0"/>
        </w:rPr>
        <w:t>The compiled C implementation was compared with the corresponding Python estimators for every held-out row. Each model was checked on 37,326 samples using an absolute tolerance of 1 × 10⁻⁹. Maximum observed absolute difference was 4.2633 × 10⁻¹⁴ proxy percentage points for both models, and both validations passed.</w:t>
      </w:r>
    </w:p>
    <w:p>
      <w:pPr>
        <w:widowControl/>
      </w:pPr>
      <w:r>
        <w:rPr>
          <w:i w:val="0"/>
        </w:rPr>
        <w:t>A two-row example was then passed to the host simulator. The input fields are voltage (V), current (A), battery temperature (°C), and elapsed time (s), in that order.</w:t>
      </w:r>
    </w:p>
    <w:p>
      <w:pPr>
        <w:spacing w:before="20" w:after="60"/>
        <w:jc w:val="center"/>
      </w:pPr>
      <w:r>
        <w:rPr>
          <w:i/>
          <w:sz w:val="18"/>
        </w:rPr>
        <w:t>Table 4.3. Sample simulator test data and output</w:t>
      </w:r>
    </w:p>
    <w:tbl>
      <w:tblPr>
        <w:tblStyle w:val="TableGrid"/>
        <w:tblW w:type="auto" w:w="0"/>
        <w:jc w:val="center"/>
        <w:tblLayout w:type="fixed"/>
        <w:tblLook w:firstColumn="1" w:firstRow="1" w:lastColumn="0" w:lastRow="0" w:noHBand="0" w:noVBand="1" w:val="04A0"/>
      </w:tblPr>
      <w:tblGrid>
        <w:gridCol w:w="3293"/>
        <w:gridCol w:w="3293"/>
        <w:gridCol w:w="3293"/>
      </w:tblGrid>
      <w:tr>
        <w:tc>
          <w:tcPr>
            <w:tcW w:type="dxa" w:w="4320"/>
            <w:shd w:fill="D9EAF7"/>
            <w:vAlign w:val="center"/>
            <w:tcMar>
              <w:top w:w="60" w:type="dxa"/>
              <w:start w:w="70" w:type="dxa"/>
              <w:bottom w:w="60" w:type="dxa"/>
              <w:end w:w="70" w:type="dxa"/>
            </w:tcMar>
          </w:tcPr>
          <w:p>
            <w:pPr>
              <w:spacing w:after="20" w:line="240" w:lineRule="auto"/>
            </w:pPr>
            <w:r>
              <w:rPr>
                <w:rFonts w:ascii="Times New Roman" w:hAnsi="Times New Roman"/>
                <w:sz w:val="17"/>
              </w:rPr>
              <w:t>Input features (V, A, °C, s)</w:t>
            </w:r>
          </w:p>
        </w:tc>
        <w:tc>
          <w:tcPr>
            <w:tcW w:type="dxa" w:w="2880"/>
            <w:shd w:fill="D9EAF7"/>
            <w:vAlign w:val="center"/>
            <w:tcMar>
              <w:top w:w="60" w:type="dxa"/>
              <w:start w:w="70" w:type="dxa"/>
              <w:bottom w:w="60" w:type="dxa"/>
              <w:end w:w="70" w:type="dxa"/>
            </w:tcMar>
          </w:tcPr>
          <w:p>
            <w:pPr>
              <w:spacing w:after="20" w:line="240" w:lineRule="auto"/>
            </w:pPr>
            <w:r>
              <w:rPr>
                <w:rFonts w:ascii="Times New Roman" w:hAnsi="Times New Roman"/>
                <w:sz w:val="17"/>
              </w:rPr>
              <w:t>Selected model proxy (%)</w:t>
            </w:r>
          </w:p>
        </w:tc>
        <w:tc>
          <w:tcPr>
            <w:tcW w:type="dxa" w:w="2880"/>
            <w:shd w:fill="D9EAF7"/>
            <w:vAlign w:val="center"/>
            <w:tcMar>
              <w:top w:w="60" w:type="dxa"/>
              <w:start w:w="70" w:type="dxa"/>
              <w:bottom w:w="60" w:type="dxa"/>
              <w:end w:w="70" w:type="dxa"/>
            </w:tcMar>
          </w:tcPr>
          <w:p>
            <w:pPr>
              <w:spacing w:after="20" w:line="240" w:lineRule="auto"/>
            </w:pPr>
            <w:r>
              <w:rPr>
                <w:rFonts w:ascii="Times New Roman" w:hAnsi="Times New Roman"/>
                <w:sz w:val="17"/>
              </w:rPr>
              <w:t>50-tree candidate proxy (%)</w:t>
            </w:r>
          </w:p>
        </w:tc>
      </w:tr>
      <w:tr>
        <w:tc>
          <w:tcPr>
            <w:tcW w:type="dxa" w:w="4320"/>
            <w:vAlign w:val="center"/>
            <w:tcMar>
              <w:top w:w="60" w:type="dxa"/>
              <w:start w:w="70" w:type="dxa"/>
              <w:bottom w:w="60" w:type="dxa"/>
              <w:end w:w="70" w:type="dxa"/>
            </w:tcMar>
          </w:tcPr>
          <w:p>
            <w:pPr>
              <w:spacing w:after="20" w:line="240" w:lineRule="auto"/>
            </w:pPr>
            <w:r>
              <w:rPr>
                <w:rFonts w:ascii="Times New Roman" w:hAnsi="Times New Roman"/>
                <w:sz w:val="17"/>
              </w:rPr>
              <w:t>3.9, -0.5, 25.3, 120</w:t>
            </w:r>
          </w:p>
        </w:tc>
        <w:tc>
          <w:tcPr>
            <w:tcW w:type="dxa" w:w="2880"/>
            <w:vAlign w:val="center"/>
            <w:tcMar>
              <w:top w:w="60" w:type="dxa"/>
              <w:start w:w="70" w:type="dxa"/>
              <w:bottom w:w="60" w:type="dxa"/>
              <w:end w:w="70" w:type="dxa"/>
            </w:tcMar>
          </w:tcPr>
          <w:p>
            <w:pPr>
              <w:spacing w:after="20" w:line="240" w:lineRule="auto"/>
            </w:pPr>
            <w:r>
              <w:rPr>
                <w:rFonts w:ascii="Times New Roman" w:hAnsi="Times New Roman"/>
                <w:sz w:val="17"/>
              </w:rPr>
              <w:t>98.603052</w:t>
            </w:r>
          </w:p>
        </w:tc>
        <w:tc>
          <w:tcPr>
            <w:tcW w:type="dxa" w:w="2880"/>
            <w:vAlign w:val="center"/>
            <w:tcMar>
              <w:top w:w="60" w:type="dxa"/>
              <w:start w:w="70" w:type="dxa"/>
              <w:bottom w:w="60" w:type="dxa"/>
              <w:end w:w="70" w:type="dxa"/>
            </w:tcMar>
          </w:tcPr>
          <w:p>
            <w:pPr>
              <w:spacing w:after="20" w:line="240" w:lineRule="auto"/>
            </w:pPr>
            <w:r>
              <w:rPr>
                <w:rFonts w:ascii="Times New Roman" w:hAnsi="Times New Roman"/>
                <w:sz w:val="17"/>
              </w:rPr>
              <w:t>98.611326</w:t>
            </w:r>
          </w:p>
        </w:tc>
      </w:tr>
      <w:tr>
        <w:tc>
          <w:tcPr>
            <w:tcW w:type="dxa" w:w="4320"/>
            <w:vAlign w:val="center"/>
            <w:tcMar>
              <w:top w:w="60" w:type="dxa"/>
              <w:start w:w="70" w:type="dxa"/>
              <w:bottom w:w="60" w:type="dxa"/>
              <w:end w:w="70" w:type="dxa"/>
            </w:tcMar>
          </w:tcPr>
          <w:p>
            <w:pPr>
              <w:spacing w:after="20" w:line="240" w:lineRule="auto"/>
            </w:pPr>
            <w:r>
              <w:rPr>
                <w:rFonts w:ascii="Times New Roman" w:hAnsi="Times New Roman"/>
                <w:sz w:val="17"/>
              </w:rPr>
              <w:t>3.7, -1.1, 26.1, 900</w:t>
            </w:r>
          </w:p>
        </w:tc>
        <w:tc>
          <w:tcPr>
            <w:tcW w:type="dxa" w:w="2880"/>
            <w:vAlign w:val="center"/>
            <w:tcMar>
              <w:top w:w="60" w:type="dxa"/>
              <w:start w:w="70" w:type="dxa"/>
              <w:bottom w:w="60" w:type="dxa"/>
              <w:end w:w="70" w:type="dxa"/>
            </w:tcMar>
          </w:tcPr>
          <w:p>
            <w:pPr>
              <w:spacing w:after="20" w:line="240" w:lineRule="auto"/>
            </w:pPr>
            <w:r>
              <w:rPr>
                <w:rFonts w:ascii="Times New Roman" w:hAnsi="Times New Roman"/>
                <w:sz w:val="17"/>
              </w:rPr>
              <w:t>78.999203</w:t>
            </w:r>
          </w:p>
        </w:tc>
        <w:tc>
          <w:tcPr>
            <w:tcW w:type="dxa" w:w="2880"/>
            <w:vAlign w:val="center"/>
            <w:tcMar>
              <w:top w:w="60" w:type="dxa"/>
              <w:start w:w="70" w:type="dxa"/>
              <w:bottom w:w="60" w:type="dxa"/>
              <w:end w:w="70" w:type="dxa"/>
            </w:tcMar>
          </w:tcPr>
          <w:p>
            <w:pPr>
              <w:spacing w:after="20" w:line="240" w:lineRule="auto"/>
            </w:pPr>
            <w:r>
              <w:rPr>
                <w:rFonts w:ascii="Times New Roman" w:hAnsi="Times New Roman"/>
                <w:sz w:val="17"/>
              </w:rPr>
              <w:t>79.195152</w:t>
            </w:r>
          </w:p>
        </w:tc>
      </w:tr>
    </w:tbl>
    <w:p>
      <w:pPr>
        <w:spacing w:after="0"/>
      </w:pPr>
    </w:p>
    <w:p>
      <w:pPr>
        <w:widowControl/>
      </w:pPr>
      <w:r>
        <w:rPr>
          <w:i w:val="0"/>
        </w:rPr>
        <w:t>Simulator output includes sample index, model label, and soc_proxy_percent. These example predictions demonstrate execution and formatting, not calibrated battery readings.</w:t>
      </w:r>
    </w:p>
    <w:p>
      <w:pPr>
        <w:pStyle w:val="Heading1"/>
      </w:pPr>
      <w:r>
        <w:t>4.4 Discussion of Result</w:t>
      </w:r>
    </w:p>
    <w:p>
      <w:pPr>
        <w:widowControl/>
      </w:pPr>
      <w:r>
        <w:rPr>
          <w:i w:val="0"/>
        </w:rPr>
        <w:t>On the fixed split, Random Forest tracked the generated proxy more closely than Ridge Regression and Extra Trees under the selected aggregate metrics. The 50-tree version substantially reduced stored artifact size while changing MAE only slightly on this comparison. This is a useful size–proxy-agreement trade-off for continued software evaluation, but does not establish that the smaller model is superior in an embedded system.</w:t>
      </w:r>
    </w:p>
    <w:p>
      <w:pPr>
        <w:widowControl/>
      </w:pPr>
      <w:r>
        <w:rPr>
          <w:i w:val="0"/>
        </w:rPr>
        <w:t>The close C/Python agreement shows that the exported forest logic preserved the tested estimator outputs. It verifies a software translation over the tested held-out feature rows; it does not verify sensor acquisition, state initialization, charge integration, compiler behavior on a microcontroller, or electrical power demand. Host-side latency and memory figures are specific to the recorded computer and runtime.</w:t>
      </w:r>
    </w:p>
    <w:p>
      <w:pPr>
        <w:widowControl/>
      </w:pPr>
      <w:r>
        <w:rPr>
          <w:i w:val="0"/>
        </w:rPr>
        <w:t>Interpretation is constrained by the target itself. Each run is assumed to begin near full charge and shares an early measured capacity reference; capacity may change between runs. The 25 °C experiments cover one physical cell. The fixed holdout was used during model selection and optimization, so these scores are not an independent final estimate. Proxy values outside 0–100% were retained rather than clipped, but that does not make them physically validated. Independent SoC reference measurements, multiple cells, temperatures, and a fresh evaluation split are needed before making accuracy or generalization claims.</w:t>
      </w:r>
    </w:p>
    <w:p>
      <w:pPr>
        <w:pStyle w:val="Heading1"/>
      </w:pPr>
      <w:r>
        <w:t>4.5 System Testing</w:t>
      </w:r>
    </w:p>
    <w:p>
      <w:pPr>
        <w:widowControl/>
      </w:pPr>
      <w:r>
        <w:rPr>
          <w:i w:val="0"/>
        </w:rPr>
        <w:t>Focused automated tests covered model export, simulator behavior, and benchmark reporting. The export and simulator tests compile the generated C path where a C compiler is available; the simulator tests also exercise invalid records and unknown model selection.</w:t>
      </w:r>
    </w:p>
    <w:p>
      <w:pPr>
        <w:spacing w:before="20" w:after="60"/>
        <w:jc w:val="center"/>
      </w:pPr>
      <w:r>
        <w:rPr>
          <w:i/>
          <w:sz w:val="18"/>
        </w:rPr>
        <w:t>Table 4.4. System test summary</w:t>
      </w:r>
    </w:p>
    <w:tbl>
      <w:tblPr>
        <w:tblStyle w:val="TableGrid"/>
        <w:tblW w:type="auto" w:w="0"/>
        <w:jc w:val="center"/>
        <w:tblLayout w:type="fixed"/>
        <w:tblLook w:firstColumn="1" w:firstRow="1" w:lastColumn="0" w:lastRow="0" w:noHBand="0" w:noVBand="1" w:val="04A0"/>
      </w:tblPr>
      <w:tblGrid>
        <w:gridCol w:w="3293"/>
        <w:gridCol w:w="3293"/>
        <w:gridCol w:w="3293"/>
      </w:tblGrid>
      <w:tr>
        <w:tc>
          <w:tcPr>
            <w:tcW w:type="dxa" w:w="1944"/>
            <w:shd w:fill="D9EAF7"/>
            <w:vAlign w:val="center"/>
            <w:tcMar>
              <w:top w:w="60" w:type="dxa"/>
              <w:start w:w="70" w:type="dxa"/>
              <w:bottom w:w="60" w:type="dxa"/>
              <w:end w:w="70" w:type="dxa"/>
            </w:tcMar>
          </w:tcPr>
          <w:p>
            <w:pPr>
              <w:spacing w:after="20" w:line="240" w:lineRule="auto"/>
            </w:pPr>
            <w:r>
              <w:rPr>
                <w:rFonts w:ascii="Times New Roman" w:hAnsi="Times New Roman"/>
                <w:sz w:val="16"/>
              </w:rPr>
              <w:t>Test case</w:t>
            </w:r>
          </w:p>
        </w:tc>
        <w:tc>
          <w:tcPr>
            <w:tcW w:type="dxa" w:w="4680"/>
            <w:shd w:fill="D9EAF7"/>
            <w:vAlign w:val="center"/>
            <w:tcMar>
              <w:top w:w="60" w:type="dxa"/>
              <w:start w:w="70" w:type="dxa"/>
              <w:bottom w:w="60" w:type="dxa"/>
              <w:end w:w="70" w:type="dxa"/>
            </w:tcMar>
          </w:tcPr>
          <w:p>
            <w:pPr>
              <w:spacing w:after="20" w:line="240" w:lineRule="auto"/>
            </w:pPr>
            <w:r>
              <w:rPr>
                <w:rFonts w:ascii="Times New Roman" w:hAnsi="Times New Roman"/>
                <w:sz w:val="16"/>
              </w:rPr>
              <w:t>Test activity</w:t>
            </w:r>
          </w:p>
        </w:tc>
        <w:tc>
          <w:tcPr>
            <w:tcW w:type="dxa" w:w="3456"/>
            <w:shd w:fill="D9EAF7"/>
            <w:vAlign w:val="center"/>
            <w:tcMar>
              <w:top w:w="60" w:type="dxa"/>
              <w:start w:w="70" w:type="dxa"/>
              <w:bottom w:w="60" w:type="dxa"/>
              <w:end w:w="70" w:type="dxa"/>
            </w:tcMar>
          </w:tcPr>
          <w:p>
            <w:pPr>
              <w:spacing w:after="20" w:line="240" w:lineRule="auto"/>
            </w:pPr>
            <w:r>
              <w:rPr>
                <w:rFonts w:ascii="Times New Roman" w:hAnsi="Times New Roman"/>
                <w:sz w:val="16"/>
              </w:rPr>
              <w:t>Observed result</w:t>
            </w:r>
          </w:p>
        </w:tc>
      </w:tr>
      <w:tr>
        <w:tc>
          <w:tcPr>
            <w:tcW w:type="dxa" w:w="1944"/>
            <w:vAlign w:val="center"/>
            <w:tcMar>
              <w:top w:w="60" w:type="dxa"/>
              <w:start w:w="70" w:type="dxa"/>
              <w:bottom w:w="60" w:type="dxa"/>
              <w:end w:w="70" w:type="dxa"/>
            </w:tcMar>
          </w:tcPr>
          <w:p>
            <w:pPr>
              <w:spacing w:after="20" w:line="240" w:lineRule="auto"/>
            </w:pPr>
            <w:r>
              <w:rPr>
                <w:rFonts w:ascii="Times New Roman" w:hAnsi="Times New Roman"/>
                <w:sz w:val="16"/>
              </w:rPr>
              <w:t>Python-to-C export</w:t>
            </w:r>
          </w:p>
        </w:tc>
        <w:tc>
          <w:tcPr>
            <w:tcW w:type="dxa" w:w="4680"/>
            <w:vAlign w:val="center"/>
            <w:tcMar>
              <w:top w:w="60" w:type="dxa"/>
              <w:start w:w="70" w:type="dxa"/>
              <w:bottom w:w="60" w:type="dxa"/>
              <w:end w:w="70" w:type="dxa"/>
            </w:tcMar>
          </w:tcPr>
          <w:p>
            <w:pPr>
              <w:spacing w:after="20" w:line="240" w:lineRule="auto"/>
            </w:pPr>
            <w:r>
              <w:rPr>
                <w:rFonts w:ascii="Times New Roman" w:hAnsi="Times New Roman"/>
                <w:sz w:val="16"/>
              </w:rPr>
              <w:t>Compile test/export harness; compare forest outputs and check generated header artifacts.</w:t>
            </w:r>
          </w:p>
        </w:tc>
        <w:tc>
          <w:tcPr>
            <w:tcW w:type="dxa" w:w="3456"/>
            <w:vAlign w:val="center"/>
            <w:tcMar>
              <w:top w:w="60" w:type="dxa"/>
              <w:start w:w="70" w:type="dxa"/>
              <w:bottom w:w="60" w:type="dxa"/>
              <w:end w:w="70" w:type="dxa"/>
            </w:tcMar>
          </w:tcPr>
          <w:p>
            <w:pPr>
              <w:spacing w:after="20" w:line="240" w:lineRule="auto"/>
            </w:pPr>
            <w:r>
              <w:rPr>
                <w:rFonts w:ascii="Times New Roman" w:hAnsi="Times New Roman"/>
                <w:sz w:val="16"/>
              </w:rPr>
              <w:t>Passed; held-out export parity also passed for 37,326 rows per model within 1 × 10⁻⁹.</w:t>
            </w:r>
          </w:p>
        </w:tc>
      </w:tr>
      <w:tr>
        <w:tc>
          <w:tcPr>
            <w:tcW w:type="dxa" w:w="1944"/>
            <w:vAlign w:val="center"/>
            <w:tcMar>
              <w:top w:w="60" w:type="dxa"/>
              <w:start w:w="70" w:type="dxa"/>
              <w:bottom w:w="60" w:type="dxa"/>
              <w:end w:w="70" w:type="dxa"/>
            </w:tcMar>
          </w:tcPr>
          <w:p>
            <w:pPr>
              <w:spacing w:after="20" w:line="240" w:lineRule="auto"/>
            </w:pPr>
            <w:r>
              <w:rPr>
                <w:rFonts w:ascii="Times New Roman" w:hAnsi="Times New Roman"/>
                <w:sz w:val="16"/>
              </w:rPr>
              <w:t>CSV simulator</w:t>
            </w:r>
          </w:p>
        </w:tc>
        <w:tc>
          <w:tcPr>
            <w:tcW w:type="dxa" w:w="4680"/>
            <w:vAlign w:val="center"/>
            <w:tcMar>
              <w:top w:w="60" w:type="dxa"/>
              <w:start w:w="70" w:type="dxa"/>
              <w:bottom w:w="60" w:type="dxa"/>
              <w:end w:w="70" w:type="dxa"/>
            </w:tcMar>
          </w:tcPr>
          <w:p>
            <w:pPr>
              <w:spacing w:after="20" w:line="240" w:lineRule="auto"/>
            </w:pPr>
            <w:r>
              <w:rPr>
                <w:rFonts w:ascii="Times New Roman" w:hAnsi="Times New Roman"/>
                <w:sz w:val="16"/>
              </w:rPr>
              <w:t>Run selected and candidate modes; test valid rows, wrong-width and non-finite rows, and unknown model.</w:t>
            </w:r>
          </w:p>
        </w:tc>
        <w:tc>
          <w:tcPr>
            <w:tcW w:type="dxa" w:w="3456"/>
            <w:vAlign w:val="center"/>
            <w:tcMar>
              <w:top w:w="60" w:type="dxa"/>
              <w:start w:w="70" w:type="dxa"/>
              <w:bottom w:w="60" w:type="dxa"/>
              <w:end w:w="70" w:type="dxa"/>
            </w:tcMar>
          </w:tcPr>
          <w:p>
            <w:pPr>
              <w:spacing w:after="20" w:line="240" w:lineRule="auto"/>
            </w:pPr>
            <w:r>
              <w:rPr>
                <w:rFonts w:ascii="Times New Roman" w:hAnsi="Times New Roman"/>
                <w:sz w:val="16"/>
              </w:rPr>
              <w:t>Passed; valid predictions returned and invalid requests failed explicitly.</w:t>
            </w:r>
          </w:p>
        </w:tc>
      </w:tr>
      <w:tr>
        <w:tc>
          <w:tcPr>
            <w:tcW w:type="dxa" w:w="1944"/>
            <w:vAlign w:val="center"/>
            <w:tcMar>
              <w:top w:w="60" w:type="dxa"/>
              <w:start w:w="70" w:type="dxa"/>
              <w:bottom w:w="60" w:type="dxa"/>
              <w:end w:w="70" w:type="dxa"/>
            </w:tcMar>
          </w:tcPr>
          <w:p>
            <w:pPr>
              <w:spacing w:after="20" w:line="240" w:lineRule="auto"/>
            </w:pPr>
            <w:r>
              <w:rPr>
                <w:rFonts w:ascii="Times New Roman" w:hAnsi="Times New Roman"/>
                <w:sz w:val="16"/>
              </w:rPr>
              <w:t>Resource benchmark</w:t>
            </w:r>
          </w:p>
        </w:tc>
        <w:tc>
          <w:tcPr>
            <w:tcW w:type="dxa" w:w="4680"/>
            <w:vAlign w:val="center"/>
            <w:tcMar>
              <w:top w:w="60" w:type="dxa"/>
              <w:start w:w="70" w:type="dxa"/>
              <w:bottom w:w="60" w:type="dxa"/>
              <w:end w:w="70" w:type="dxa"/>
            </w:tcMar>
          </w:tcPr>
          <w:p>
            <w:pPr>
              <w:spacing w:after="20" w:line="240" w:lineRule="auto"/>
            </w:pPr>
            <w:r>
              <w:rPr>
                <w:rFonts w:ascii="Times New Roman" w:hAnsi="Times New Roman"/>
                <w:sz w:val="16"/>
              </w:rPr>
              <w:t>Check deterministic batch construction, latency summaries, invalid durations, and JSON/CSV report fields.</w:t>
            </w:r>
          </w:p>
        </w:tc>
        <w:tc>
          <w:tcPr>
            <w:tcW w:type="dxa" w:w="3456"/>
            <w:vAlign w:val="center"/>
            <w:tcMar>
              <w:top w:w="60" w:type="dxa"/>
              <w:start w:w="70" w:type="dxa"/>
              <w:bottom w:w="60" w:type="dxa"/>
              <w:end w:w="70" w:type="dxa"/>
            </w:tcMar>
          </w:tcPr>
          <w:p>
            <w:pPr>
              <w:spacing w:after="20" w:line="240" w:lineRule="auto"/>
            </w:pPr>
            <w:r>
              <w:rPr>
                <w:rFonts w:ascii="Times New Roman" w:hAnsi="Times New Roman"/>
                <w:sz w:val="16"/>
              </w:rPr>
              <w:t>Passed; 10 tests and 4 subtests passed across the three focused test modules.</w:t>
            </w:r>
          </w:p>
        </w:tc>
      </w:tr>
    </w:tbl>
    <w:p>
      <w:pPr>
        <w:spacing w:after="0"/>
      </w:pPr>
    </w:p>
    <w:p>
      <w:pPr>
        <w:widowControl/>
      </w:pPr>
      <w:r>
        <w:rPr>
          <w:i w:val="0"/>
        </w:rPr>
        <w:t>The test run used tests/test_panasonic_c_export.py, tests/test_panasonic_edge_simulator.py, and tests/test_panasonic_resource_benchmark.py. It completed with 10 passed and 4 subtests passed. These results verify the tested software path, not the physical battery monitoring system.</w:t>
      </w:r>
    </w:p>
    <w:p>
      <w:pPr>
        <w:pStyle w:val="Heading1"/>
      </w:pPr>
      <w:r>
        <w:t>4.6 Conversion</w:t>
      </w:r>
    </w:p>
    <w:p>
      <w:pPr>
        <w:widowControl/>
      </w:pPr>
      <w:r>
        <w:rPr>
          <w:i w:val="0"/>
        </w:rPr>
        <w:t>No operational legacy system was replaced, and the prototype has not been deployed to users or physical hardware. A direct production conversion is therefore not claimed. The appropriate future approach is a controlled pilot followed by phase-in: first reproduce the offline results from the documented environment, then compare the prototype in parallel with an independently validated SoC reference, and only then consider a hardware pilot. A hardware release should be blocked until sensor calibration, startup SoC initialization, safety bounds, target-device resource use, power consumption and failure handling are independently verified. The current Python workflow and saved artifacts remain the research reference during any future pilot.</w:t>
      </w:r>
    </w:p>
    <w:p>
      <w:pPr>
        <w:pStyle w:val="Heading1"/>
      </w:pPr>
      <w:r>
        <w:t>4.7 Documentation</w:t>
      </w:r>
    </w:p>
    <w:p>
      <w:pPr>
        <w:widowControl/>
      </w:pPr>
      <w:r>
        <w:rPr>
          <w:i w:val="0"/>
        </w:rPr>
        <w:t>Operational instructions for the current host simulator are as follows:</w:t>
      </w:r>
    </w:p>
    <w:p>
      <w:pPr>
        <w:pStyle w:val="ListBullet"/>
        <w:spacing w:after="40"/>
        <w:ind w:left="360"/>
      </w:pPr>
      <w:r>
        <w:t>1. Activate the project Conda environment from the repository: conda activate ml_env.</w:t>
      </w:r>
    </w:p>
    <w:p>
      <w:pPr>
        <w:pStyle w:val="ListBullet"/>
        <w:spacing w:after="40"/>
        <w:ind w:left="360"/>
      </w:pPr>
      <w:r>
        <w:t>2. Create the build directory and compile the C99 simulator: mkdir -p build &amp;&amp; cc -std=c99 -O2 -Wall -Wextra -Werror edge/simulation/panasonic_edge_simulator.c -lm -o build/panasonic_edge_simulator.</w:t>
      </w:r>
    </w:p>
    <w:p>
      <w:pPr>
        <w:pStyle w:val="ListBullet"/>
        <w:spacing w:after="40"/>
        <w:ind w:left="360"/>
      </w:pPr>
      <w:r>
        <w:t>3. Supply one CSV row per sample with exactly four finite numeric fields in the order voltage (V), current (A), battery temperature (°C), elapsed time (s).</w:t>
      </w:r>
    </w:p>
    <w:p>
      <w:pPr>
        <w:pStyle w:val="ListBullet"/>
        <w:spacing w:after="40"/>
        <w:ind w:left="360"/>
      </w:pPr>
      <w:r>
        <w:t>4. Select the baseline with --model selected (default) or the reduced candidate with --model candidate. The output fields are sample_index, model, soc_proxy_percent.</w:t>
      </w:r>
    </w:p>
    <w:p>
      <w:pPr>
        <w:pStyle w:val="ListBullet"/>
        <w:spacing w:after="40"/>
        <w:ind w:left="360"/>
      </w:pPr>
      <w:r>
        <w:t>5. Treat each returned value as an approximate proxy prediction. Do not interpret it as a physical SoC reading or use it for safety-critical control.</w:t>
      </w:r>
    </w:p>
    <w:p>
      <w:pPr>
        <w:widowControl/>
      </w:pPr>
      <w:r>
        <w:rPr>
          <w:i w:val="0"/>
        </w:rPr>
        <w:t>Malformed, incomplete, or non-finite input rows and unknown model choices are rejected with an error. The simulator is a host-side command-line demonstration; it does not contain drivers, serial-port handling, model initialization from sensors, a graphical interface, or firmware installation. The source dataset and derived data are local project inputs and are not distributed in the simulator package.</w:t>
      </w:r>
    </w:p>
    <w:p>
      <w:pPr>
        <w:pStyle w:val="Heading1"/>
      </w:pPr>
      <w:r>
        <w:t>4.8 System Maintenance</w:t>
      </w:r>
    </w:p>
    <w:p>
      <w:pPr>
        <w:widowControl/>
      </w:pPr>
      <w:r>
        <w:rPr>
          <w:i w:val="0"/>
        </w:rPr>
        <w:t>Maintenance of this research prototype should preserve reproducibility and the evidence boundary. Keep raw data separate from processed outputs; retain model and export provenance; record software/compiler versions; and rerun data checks, focused tests and C/Python parity after code, model, or dependency changes. Regenerate model artifacts and reports only from the documented scripts and reviewed inputs. Before comparing a replacement model, use a new cycle- or cell-level evaluation set not used for selection. Review the target-capacity assumptions and dataset license whenever inputs change. Any future hardware-specific maintenance must add sensor calibration, firmware versioning, safe error states and measured device power rather than inferring power from software size or host timings.</w:t>
      </w:r>
    </w:p>
    <w:p>
      <w:pPr>
        <w:pStyle w:val="Heading2"/>
      </w:pPr>
      <w:r>
        <w:t>Reference cited in this chapter</w:t>
      </w:r>
    </w:p>
    <w:p>
      <w:pPr>
        <w:ind w:left="504" w:hanging="504"/>
      </w:pPr>
      <w:r>
        <w:rPr>
          <w:i w:val="0"/>
        </w:rPr>
        <w:t xml:space="preserve">Mendeley Data. (n.d.). </w:t>
      </w:r>
      <w:r>
        <w:rPr>
          <w:i/>
        </w:rPr>
        <w:t>Panasonic 18650PF Li-ion Battery Data</w:t>
      </w:r>
      <w:r>
        <w:t xml:space="preserve"> [Data set]. https://doi.org/10.17632/wykht8y7tg.1</w:t>
      </w:r>
    </w:p>
    <w:sectPr w:rsidR="00FC693F" w:rsidRPr="0006063C" w:rsidSect="00034616">
      <w:headerReference w:type="default" r:id="rId9"/>
      <w:footerReference w:type="default" r:id="rId10"/>
      <w:pgSz w:w="12240" w:h="15840"/>
      <w:pgMar w:top="1037" w:right="1181" w:bottom="1037"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8"/>
      </w:rP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color w:val="646464"/>
        <w:sz w:val="16"/>
      </w:rPr>
      <w:t>CHAPTER FOUR  |  IMPLEMENTATION AND DOCUMENTATION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69" w:lineRule="auto" w:after="100"/>
    </w:pPr>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80"/>
      <w:outlineLvl w:val="0"/>
    </w:pPr>
    <w:rPr>
      <w:rFonts w:asciiTheme="majorHAnsi" w:eastAsiaTheme="majorEastAsia" w:hAnsiTheme="majorHAnsi" w:cstheme="majorBidi" w:ascii="Times New Roman" w:hAnsi="Times New Roman" w:eastAsia="Times New Roman"/>
      <w:b/>
      <w:bCs/>
      <w:color w:val="1F4E79"/>
      <w:sz w:val="26"/>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Times New Roman" w:hAnsi="Times New Roman" w:eastAsia="Times New Roman"/>
      <w:b/>
      <w:bCs/>
      <w:color w:val="1F4E79"/>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80" w:line="240" w:lineRule="auto" w:before="0"/>
      <w:contextualSpacing/>
    </w:pPr>
    <w:rPr>
      <w:rFonts w:asciiTheme="majorHAnsi" w:eastAsiaTheme="majorEastAsia" w:hAnsiTheme="majorHAnsi" w:cstheme="majorBidi" w:ascii="Times New Roman" w:hAnsi="Times New Roman" w:eastAsia="Times New Roman"/>
      <w:b/>
      <w:color w:val="1F4E79"/>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Four: Implementation and Documentation</dc:title>
  <dc:subject>Results and implementation documentation for the battery monitoring prototype</dc:subject>
  <dc:creator>Project report</dc:creator>
  <cp:keywords/>
  <dc:description>generated by python-docx</dc:description>
  <cp:lastModifiedBy/>
  <cp:revision>1</cp:revision>
  <dcterms:created xsi:type="dcterms:W3CDTF">2013-12-23T23:15:00Z</dcterms:created>
  <dcterms:modified xsi:type="dcterms:W3CDTF">2013-12-23T23:15:00Z</dcterms:modified>
  <cp:category/>
</cp:coreProperties>
</file>