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hAnsi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1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.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KMeansCluster&lt;-function(dataset, rowname = NULL, colname = NULL,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fr-FR"/>
        </w:rPr>
        <w:t>culstervar = NULL, centers = 3,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algorithm = "Hartign-Wong")</w:t>
      </w: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K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均值聚类。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。两列及以上，全部为数值型向量；字符串型</w:t>
      </w:r>
      <w:r>
        <w:rPr>
          <w:rFonts w:eastAsia="Arial Unicode MS" w:hint="eastAsia"/>
          <w:sz w:val="24"/>
          <w:szCs w:val="24"/>
          <w:rtl w:val="0"/>
          <w:lang w:val="zh-CN" w:eastAsia="zh-CN"/>
        </w:rPr>
        <w:t>数字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向量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‘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1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2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,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3</w:t>
      </w:r>
      <w:r>
        <w:rPr>
          <w:rFonts w:ascii="Arial Unicode MS" w:hAnsi="Arial Unicode MS" w:hint="default"/>
          <w:sz w:val="24"/>
          <w:szCs w:val="24"/>
          <w:rtl w:val="0"/>
          <w:lang w:val="zh-TW" w:eastAsia="zh-TW"/>
        </w:rPr>
        <w:t>’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)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…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）。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680" w:hanging="168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</w:t>
      </w:r>
      <w:r>
        <w:rPr>
          <w:b w:val="1"/>
          <w:bCs w:val="1"/>
          <w:sz w:val="24"/>
          <w:szCs w:val="24"/>
          <w:rtl w:val="0"/>
          <w:lang w:val="en-US"/>
        </w:rPr>
        <w:t>culstervar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：聚类变量名称，类型为字符串，缺省为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中所有列。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centers: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聚类的类别数目，类型为数值型，缺省为</w:t>
      </w:r>
      <w:r>
        <w:rPr>
          <w:sz w:val="24"/>
          <w:szCs w:val="24"/>
          <w:rtl w:val="0"/>
          <w:lang w:val="en-US"/>
        </w:rPr>
        <w:t>3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algorithm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TW" w:eastAsia="zh-TW"/>
        </w:rPr>
        <w:t>聚类算法名称，字符串型，取值范围为（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"Hartigan-Wong", 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                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"Lloyd",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"Forgy", 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MacQueen"</w:t>
      </w:r>
      <w:r>
        <w:rPr>
          <w:sz w:val="24"/>
          <w:szCs w:val="24"/>
          <w:rtl w:val="0"/>
          <w:lang w:val="zh-TW" w:eastAsia="zh-TW"/>
        </w:rPr>
        <w:t>），缺省为</w:t>
      </w:r>
      <w:r>
        <w:rPr>
          <w:rFonts w:ascii="Calibri" w:hAnsi="Calibri"/>
          <w:sz w:val="24"/>
          <w:szCs w:val="24"/>
          <w:rtl w:val="0"/>
          <w:lang w:val="en-US"/>
        </w:rPr>
        <w:t>"Hartigan-Wong"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ClusterCenterRowName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：聚类中心矩阵的行名，类型为字符串向量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        ClusterCenterColName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：聚类中心矩阵的列名，类型为字符串向量。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ClusterCenter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：聚类中心矩阵。</w:t>
      </w:r>
    </w:p>
    <w:p>
      <w:pPr>
        <w:pStyle w:val="Normal.0"/>
        <w:ind w:left="1625" w:hanging="1205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：聚类结果矩阵的行名，类型为字符串向量。</w:t>
      </w:r>
    </w:p>
    <w:p>
      <w:pPr>
        <w:pStyle w:val="Normal.0"/>
        <w:ind w:firstLine="4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ClusterLabelColName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：聚类结果矩阵的列名，类型为字符串向量。</w:t>
      </w:r>
    </w:p>
    <w:p>
      <w:pPr>
        <w:pStyle w:val="Normal.0"/>
        <w:ind w:firstLine="48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ClusterLabel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：聚类结果矩阵。</w:t>
      </w:r>
    </w:p>
    <w:p>
      <w:pPr>
        <w:pStyle w:val="Normal.0"/>
        <w:ind w:firstLine="480"/>
      </w:pPr>
      <w:r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