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left="360" w:firstLine="0"/>
        <w:jc w:val="left"/>
        <w:rPr>
          <w:rFonts w:ascii="Calibri" w:hAnsi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SingleChisqTest&lt;-function(dataset, rowname = NULL, colname = NULL, side = "twotail",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sigma2 = 1, confidence = 0.95)</w:t>
      </w: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卡方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检验原假设总体分布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方差</w:t>
      </w:r>
      <w:r>
        <w:rPr>
          <w:sz w:val="24"/>
          <w:szCs w:val="24"/>
          <w:rtl w:val="0"/>
          <w:lang w:val="zh-TW" w:eastAsia="zh-TW"/>
        </w:rPr>
        <w:t>等于</w:t>
      </w:r>
      <w:bookmarkEnd w:id="0"/>
      <w:r>
        <w:rPr>
          <w:sz w:val="24"/>
          <w:szCs w:val="24"/>
          <w:rtl w:val="0"/>
          <w:lang w:val="en-US"/>
        </w:rPr>
        <w:t>sigma2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，适用于小样本，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总体均值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未知的正态分布资料。</w:t>
      </w:r>
      <w:bookmarkStart w:name="OLE_LINK31" w:id="1"/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（备择假设：总体方差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&lt;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sigma2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sz w:val="24"/>
          <w:szCs w:val="24"/>
          <w:rtl w:val="0"/>
          <w:lang w:val="en-US"/>
        </w:rPr>
        <w:t>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</w:t>
      </w:r>
      <w:bookmarkEnd w:id="1"/>
      <w:bookmarkStart w:name="OLE_LINK31" w:id="2"/>
      <w:r>
        <w:rPr>
          <w:rFonts w:eastAsia="Arial Unicode MS" w:hint="eastAsia"/>
          <w:sz w:val="24"/>
          <w:szCs w:val="24"/>
          <w:rtl w:val="0"/>
          <w:lang w:val="zh-CN" w:eastAsia="zh-CN"/>
        </w:rPr>
        <w:t>（备择假设：总体方差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&gt;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sigma2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）</w:t>
      </w:r>
      <w:bookmarkEnd w:id="2"/>
      <w:bookmarkStart w:name="OLE_LINK31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sigma2: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方差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  <w:bookmarkEnd w:id="3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ChisqStatistic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卡方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估计的方差</w:t>
      </w:r>
      <w:r>
        <w:rPr>
          <w:sz w:val="24"/>
          <w:szCs w:val="24"/>
          <w:rtl w:val="0"/>
          <w:lang w:val="zh-TW" w:eastAsia="zh-TW"/>
        </w:rPr>
        <w:t>置信区间下界</w:t>
      </w:r>
      <w:bookmarkEnd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5"/>
      <w:r>
        <w:rPr>
          <w:sz w:val="24"/>
          <w:szCs w:val="24"/>
          <w:rtl w:val="0"/>
          <w:lang w:val="zh-CN" w:eastAsia="zh-CN"/>
        </w:rPr>
        <w:t>估计的方差</w:t>
      </w:r>
      <w:bookmarkEnd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