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DoublePairWilcoxTest&lt;-function(dataset, rowname = NULL, colname = NULL, numvar1 = NULL, numvar2 = NULL,  side = "twotail", mu = 0, confidence = 0.95)</w:t>
      </w:r>
      <w:bookmarkStart w:name="OLE_LINK32" w:id="0"/>
    </w:p>
    <w:p>
      <w:pPr>
        <w:pStyle w:val="List Paragraph"/>
        <w:ind w:left="360" w:firstLine="0"/>
      </w:pPr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同一总体配对样本</w:t>
      </w:r>
      <w:r>
        <w:rPr>
          <w:sz w:val="24"/>
          <w:szCs w:val="24"/>
          <w:rtl w:val="0"/>
          <w:lang w:val="en-US"/>
        </w:rPr>
        <w:t>Wilcox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符号秩检验。检验原假设来自同一总体在实验前后的两个分布关于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mu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对称，即</w:t>
      </w: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假设总体分布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差的</w:t>
      </w:r>
      <w:bookmarkStart w:name="OLE_LINK31"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中位数</w:t>
      </w:r>
      <w:bookmarkEnd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等于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mu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3"/>
      <w:r>
        <w:rPr>
          <w:rFonts w:eastAsia="Calibri" w:hint="eastAsia"/>
          <w:sz w:val="24"/>
          <w:szCs w:val="24"/>
          <w:rtl w:val="0"/>
          <w:lang w:val="zh-TW" w:eastAsia="zh-TW"/>
        </w:rPr>
        <w:t>适用于正态总体但标准差未知，或者非正态分布总体，或者分布未知的资料</w:t>
      </w:r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4"/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  <w:bookmarkEnd w:id="4"/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两列，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均为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数值型向量  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</w:t>
      </w:r>
      <w:bookmarkStart w:name="OLE_LINK31" w:id="5"/>
      <w:r>
        <w:rPr>
          <w:rFonts w:eastAsia="Arial Unicode MS" w:hint="eastAsia"/>
          <w:sz w:val="24"/>
          <w:szCs w:val="24"/>
          <w:rtl w:val="0"/>
          <w:lang w:val="zh-TW" w:eastAsia="zh-TW"/>
        </w:rPr>
        <w:t>假设中两总体分布差的</w:t>
      </w:r>
      <w:r>
        <w:rPr>
          <w:rFonts w:eastAsia="Arial Unicode MS" w:hint="eastAsia"/>
          <w:sz w:val="24"/>
          <w:szCs w:val="24"/>
          <w:rtl w:val="0"/>
          <w:lang w:val="en-US"/>
        </w:rPr>
        <w:t>中心位置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bookmarkEnd w:id="5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W</w:t>
      </w:r>
      <w:bookmarkStart w:name="OLE_LINK1" w:id="6"/>
      <w:r>
        <w:rPr>
          <w:b w:val="1"/>
          <w:bCs w:val="1"/>
          <w:sz w:val="24"/>
          <w:szCs w:val="24"/>
          <w:rtl w:val="0"/>
          <w:lang w:val="en-US"/>
        </w:rPr>
        <w:t>Statistic</w:t>
      </w:r>
      <w:bookmarkEnd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W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Median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：估计的</w:t>
      </w:r>
      <w:bookmarkStart w:name="OLE_LINK31" w:id="7"/>
      <w:r>
        <w:rPr>
          <w:rFonts w:eastAsia="Calibri" w:hint="eastAsia"/>
          <w:sz w:val="24"/>
          <w:szCs w:val="24"/>
          <w:rtl w:val="0"/>
          <w:lang w:val="zh-TW" w:eastAsia="zh-TW"/>
        </w:rPr>
        <w:t>两总体分布差</w:t>
      </w:r>
      <w:bookmarkEnd w:id="7"/>
      <w:r>
        <w:rPr>
          <w:rFonts w:eastAsia="Arial Unicode MS" w:hint="eastAsia"/>
          <w:sz w:val="24"/>
          <w:szCs w:val="24"/>
          <w:rtl w:val="0"/>
          <w:lang w:val="zh-TW" w:eastAsia="zh-TW"/>
        </w:rPr>
        <w:t>的中位数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8"/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估计的分布中位数的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8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9"/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估计的分布中位数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的</w:t>
      </w:r>
      <w:bookmarkEnd w:id="9"/>
      <w:r>
        <w:rPr>
          <w:rFonts w:eastAsia="Arial Unicode MS" w:hint="eastAsia"/>
          <w:sz w:val="24"/>
          <w:szCs w:val="24"/>
          <w:rtl w:val="0"/>
          <w:lang w:val="zh-TW" w:eastAsia="zh-TW"/>
        </w:rPr>
        <w:t>置信区间上界，类型为数值型。</w:t>
      </w:r>
      <w:r>
        <w:rPr>
          <w:rFonts w:ascii="Arial Unicode MS" w:cs="Arial Unicode MS" w:hAnsi="Arial Unicode MS" w:eastAsia="Arial Unicode MS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