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en-US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 xml:space="preserve">PersonCorTest&lt;-function(dataset, rowname = NULL, colname = NULL, numvar1 = </w:t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 </w:t>
      </w:r>
    </w:p>
    <w:p>
      <w:pPr>
        <w:pStyle w:val="Normal.0"/>
      </w:pP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NULL, numvar2 = NULL,</w:t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side = "twotail", confidence = 0.95)</w:t>
      </w:r>
      <w:bookmarkStart w:name="OLE_LINK32" w:id="0"/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总体样本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Person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相关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检验。检验原假设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两个总体相互独立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适合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二元正态分布</w:t>
      </w:r>
      <w:bookmarkStart w:name="OLE_LINK31" w:id="1"/>
      <w:r>
        <w:rPr>
          <w:rFonts w:eastAsia="Calibri" w:hint="eastAsia"/>
          <w:sz w:val="24"/>
          <w:szCs w:val="24"/>
          <w:rtl w:val="0"/>
          <w:lang w:val="zh-TW" w:eastAsia="zh-TW"/>
        </w:rPr>
        <w:t>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两列，均为数值型向量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SStatistic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EstiRho: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</w:t>
      </w:r>
      <w:r>
        <w:rPr>
          <w:b w:val="1"/>
          <w:bCs w:val="1"/>
          <w:sz w:val="24"/>
          <w:szCs w:val="24"/>
          <w:rtl w:val="0"/>
          <w:lang w:val="en-US"/>
        </w:rPr>
        <w:t>PersonCorTest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相关系数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