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tl w:val="0"/>
          <w:lang w:val="zh-TW" w:eastAsia="zh-TW"/>
        </w:rPr>
        <w:t xml:space="preserve">1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AgglomerativeHierarchicalCluster&lt;-function(dataset, rowname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colname = NULL, culstervar = NULL, metric = "euclidean", method = "average",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stand = 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 = NULL, bannername = NULL, treename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凝聚层次聚类。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Arial Unicode MS" w:cs="Arial Unicode MS" w:hAnsi="Arial Unicode MS" w:eastAsia="Arial Unicode MS"/>
          <w:color w:val="ff2600"/>
          <w:sz w:val="24"/>
          <w:szCs w:val="24"/>
          <w:u w:color="ff2600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。两列及以上，全部为数值型向量；字符串型数字向量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(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‘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3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;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字符串型非数字向量（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男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女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）会被自动转为（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但是强烈建议事先转化字符串型非数字向量。</w:t>
      </w:r>
    </w:p>
    <w:p>
      <w:pPr>
        <w:pStyle w:val="Normal.0"/>
        <w:ind w:left="1384" w:hanging="964"/>
        <w:rPr>
          <w:sz w:val="24"/>
          <w:szCs w:val="24"/>
        </w:rPr>
      </w:pP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metric</w:t>
      </w:r>
      <w:r>
        <w:rPr>
          <w:sz w:val="24"/>
          <w:szCs w:val="24"/>
          <w:rtl w:val="0"/>
          <w:lang w:val="zh-TW" w:eastAsia="zh-TW"/>
        </w:rPr>
        <w:t>：样本相似度的距离（测度），类型为字符串，取值范围为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manhattan"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sz w:val="24"/>
          <w:szCs w:val="24"/>
          <w:rtl w:val="0"/>
          <w:lang w:val="zh-TW" w:eastAsia="zh-TW"/>
        </w:rPr>
        <w:t>：聚类算法，类型为字符串，取值范围为</w:t>
      </w:r>
      <w:r>
        <w:rPr>
          <w:rFonts w:ascii="Calibri" w:hAnsi="Calibri"/>
          <w:sz w:val="24"/>
          <w:szCs w:val="24"/>
          <w:rtl w:val="0"/>
          <w:lang w:val="en-US"/>
        </w:rPr>
        <w:t>( "average","single",</w:t>
      </w:r>
    </w:p>
    <w:p>
      <w:pPr>
        <w:pStyle w:val="List Paragrap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rtl w:val="0"/>
          <w:lang w:val="zh-TW" w:eastAsia="zh-TW"/>
        </w:rPr>
        <w:t xml:space="preserve">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"complete", "ward", "weighted",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“”</w:t>
      </w:r>
      <w:r>
        <w:rPr>
          <w:rFonts w:ascii="Calibri" w:hAnsi="Calibri"/>
          <w:sz w:val="24"/>
          <w:szCs w:val="24"/>
          <w:rtl w:val="0"/>
          <w:lang w:val="en-US"/>
        </w:rPr>
        <w:t>gaverage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””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zh-TW" w:eastAsia="zh-TW"/>
        </w:rPr>
        <w:t>，缺省</w:t>
      </w:r>
      <w:r>
        <w:rPr>
          <w:rtl w:val="0"/>
          <w:lang w:val="zh-TW" w:eastAsia="zh-TW"/>
        </w:rPr>
        <w:t>为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average"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1440"/>
        <w:rPr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图片输出文件夹目录，类型为字符串，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Calibri" w:hint="eastAsia"/>
          <w:b w:val="1"/>
          <w:bCs w:val="1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Dendrogram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ClusterOrderRowName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ClusterOrderColName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ClusterOrder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ClusterHeight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