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中心点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把样本分为</w:t>
      </w:r>
      <w:r>
        <w:rPr>
          <w:b w:val="1"/>
          <w:bCs w:val="1"/>
          <w:sz w:val="24"/>
          <w:szCs w:val="24"/>
          <w:rtl w:val="0"/>
          <w:lang w:val="fr-FR"/>
        </w:rPr>
        <w:t>centers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指定个数的不同类。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非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数字向量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字符串型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非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数字向量。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  <w:r>
        <w:rPr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