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hAnsi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numPr>
          <w:ilvl w:val="0"/>
          <w:numId w:val="2"/>
        </w:numPr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KMeansCluster&lt;-function(dataset, rowname = NULL, colname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scale = TRUE, </w:t>
      </w:r>
      <w:r>
        <w:rPr>
          <w:rFonts w:ascii="Calibri" w:hAnsi="Calibri"/>
          <w:b w:val="1"/>
          <w:bCs w:val="1"/>
          <w:sz w:val="24"/>
          <w:szCs w:val="24"/>
          <w:rtl w:val="0"/>
          <w:lang w:val="fr-FR"/>
        </w:rPr>
        <w:t>culstervar = NULL, centers = 3,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algorithm = "Hartign-Wong")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均值聚类。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把样本分为</w:t>
      </w:r>
      <w:r>
        <w:rPr>
          <w:b w:val="1"/>
          <w:bCs w:val="1"/>
          <w:sz w:val="24"/>
          <w:szCs w:val="24"/>
          <w:rtl w:val="0"/>
          <w:lang w:val="fr-FR"/>
        </w:rPr>
        <w:t>centers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指定个数的不同类。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。两列及以上，全部为数值型向量；字符串型数字向量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(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‘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3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;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字符串型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非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数字向量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（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男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女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）会被自动转为（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但是强烈建议事先转化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字符串型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非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数字向量。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scale: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是否标准化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数据（减去均值，除以标准差）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，缺省标准化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聚类的类别数目，类型为数值型，缺省为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algorithm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聚类算法名称，字符串型，取值范围为（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"Hartigan-Wong",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"Lloyd",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"Forgy", 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MacQueen"</w:t>
      </w:r>
      <w:r>
        <w:rPr>
          <w:sz w:val="24"/>
          <w:szCs w:val="24"/>
          <w:rtl w:val="0"/>
          <w:lang w:val="zh-TW" w:eastAsia="zh-TW"/>
        </w:rPr>
        <w:t>），缺省为</w:t>
      </w:r>
      <w:r>
        <w:rPr>
          <w:rFonts w:ascii="Calibri" w:hAnsi="Calibri"/>
          <w:sz w:val="24"/>
          <w:szCs w:val="24"/>
          <w:rtl w:val="0"/>
          <w:lang w:val="en-US"/>
        </w:rPr>
        <w:t>"Hartigan-Wong"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编号">
    <w:name w:val="编号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