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0000" cy="1474588"/>
            <wp:docPr id="1" name="Picture 1"/>
            <wp:cNvGraphicFramePr>
              <a:graphicFrameLocks noChangeAspect="1"/>
            </wp:cNvGraphicFramePr>
            <a:graphic>
              <a:graphicData uri="http://schemas.openxmlformats.org/drawingml/2006/picture">
                <pic:pic>
                  <pic:nvPicPr>
                    <pic:cNvPr id="0" name="banner.png"/>
                    <pic:cNvPicPr/>
                  </pic:nvPicPr>
                  <pic:blipFill>
                    <a:blip r:embed="rId9"/>
                    <a:stretch>
                      <a:fillRect/>
                    </a:stretch>
                  </pic:blipFill>
                  <pic:spPr>
                    <a:xfrm>
                      <a:off x="0" y="0"/>
                      <a:ext cx="6120000" cy="1474588"/>
                    </a:xfrm>
                    <a:prstGeom prst="rect"/>
                  </pic:spPr>
                </pic:pic>
              </a:graphicData>
            </a:graphic>
          </wp:inline>
        </w:drawing>
      </w:r>
    </w:p>
    <w:p/>
    <w:p>
      <w:pPr>
        <w:jc w:val="center"/>
      </w:pPr>
      <w:r>
        <w:rPr>
          <w:b/>
          <w:color w:val="C0392B"/>
          <w:sz w:val="24"/>
        </w:rPr>
        <w:t>WIL – WORK INTEGRATED LEARNING 3A  |  Module XISD5319</w:t>
      </w:r>
    </w:p>
    <w:p/>
    <w:p>
      <w:pPr>
        <w:jc w:val="center"/>
      </w:pPr>
      <w:r>
        <w:drawing>
          <wp:inline xmlns:a="http://schemas.openxmlformats.org/drawingml/2006/main" xmlns:pic="http://schemas.openxmlformats.org/drawingml/2006/picture">
            <wp:extent cx="5760000" cy="3844800"/>
            <wp:docPr id="2" name="Picture 2"/>
            <wp:cNvGraphicFramePr>
              <a:graphicFrameLocks noChangeAspect="1"/>
            </wp:cNvGraphicFramePr>
            <a:graphic>
              <a:graphicData uri="http://schemas.openxmlformats.org/drawingml/2006/picture">
                <pic:pic>
                  <pic:nvPicPr>
                    <pic:cNvPr id="0" name="hero_security.jpg"/>
                    <pic:cNvPicPr/>
                  </pic:nvPicPr>
                  <pic:blipFill>
                    <a:blip r:embed="rId10"/>
                    <a:stretch>
                      <a:fillRect/>
                    </a:stretch>
                  </pic:blipFill>
                  <pic:spPr>
                    <a:xfrm>
                      <a:off x="0" y="0"/>
                      <a:ext cx="5760000" cy="3844800"/>
                    </a:xfrm>
                    <a:prstGeom prst="rect"/>
                  </pic:spPr>
                </pic:pic>
              </a:graphicData>
            </a:graphic>
          </wp:inline>
        </w:drawing>
      </w:r>
    </w:p>
    <w:p>
      <w:pPr>
        <w:jc w:val="center"/>
      </w:pPr>
      <w:r>
        <w:rPr>
          <w:i/>
          <w:color w:val="0B3D91"/>
          <w:sz w:val="19"/>
        </w:rPr>
        <w:t>A modern, digitally-enabled Security School for the Limpopo region</w:t>
      </w:r>
    </w:p>
    <w:p/>
    <w:p>
      <w:pPr>
        <w:jc w:val="center"/>
      </w:pPr>
      <w:r>
        <w:rPr>
          <w:b/>
          <w:color w:val="0B3D91"/>
          <w:sz w:val="44"/>
        </w:rPr>
        <w:t>TASK 1 – PROJECT PLAN</w:t>
      </w:r>
    </w:p>
    <w:p>
      <w:pPr>
        <w:jc w:val="center"/>
      </w:pPr>
      <w:r>
        <w:rPr>
          <w:b/>
          <w:color w:val="222222"/>
          <w:sz w:val="32"/>
        </w:rPr>
        <w:t>MJSCYBER Security School – Web Application &amp; Database</w:t>
      </w:r>
    </w:p>
    <w:p/>
    <w:tbl>
      <w:tblPr>
        <w:tblW w:type="auto" w:w="0"/>
        <w:jc w:val="center"/>
        <w:tblLayout w:type="fixed"/>
        <w:tblLook w:firstColumn="1" w:firstRow="1" w:lastColumn="0" w:lastRow="0" w:noHBand="0" w:noVBand="1" w:val="04A0"/>
      </w:tblPr>
      <w:tblGrid>
        <w:gridCol w:w="4873"/>
        <w:gridCol w:w="4873"/>
      </w:tblGrid>
      <w:tr>
        <w:tc>
          <w:tcPr>
            <w:tcW w:type="dxa" w:w="2835"/>
            <w:shd w:val="clear" w:color="auto" w:fill="0B3D91"/>
          </w:tcPr>
          <w:p>
            <w:r/>
            <w:r>
              <w:rPr>
                <w:b/>
                <w:color w:val="FFFFFF"/>
                <w:sz w:val="22"/>
              </w:rPr>
              <w:t>Prepared For</w:t>
            </w:r>
          </w:p>
        </w:tc>
        <w:tc>
          <w:tcPr>
            <w:tcW w:type="dxa" w:w="6236"/>
          </w:tcPr>
          <w:p>
            <w:r/>
            <w:r>
              <w:rPr>
                <w:sz w:val="22"/>
              </w:rPr>
              <w:t>MJSCYBER PTY LTD  (Reg: 2022/201980/07)</w:t>
            </w:r>
          </w:p>
        </w:tc>
      </w:tr>
      <w:tr>
        <w:tc>
          <w:tcPr>
            <w:tcW w:type="dxa" w:w="2835"/>
            <w:shd w:val="clear" w:color="auto" w:fill="0B3D91"/>
          </w:tcPr>
          <w:p>
            <w:r/>
            <w:r>
              <w:rPr>
                <w:b/>
                <w:color w:val="FFFFFF"/>
                <w:sz w:val="22"/>
              </w:rPr>
              <w:t>Prepared By</w:t>
            </w:r>
          </w:p>
        </w:tc>
        <w:tc>
          <w:tcPr>
            <w:tcW w:type="dxa" w:w="6236"/>
          </w:tcPr>
          <w:p>
            <w:r/>
            <w:r>
              <w:rPr>
                <w:sz w:val="22"/>
              </w:rPr>
              <w:t>Jones Sepuru  &amp;  Khumela Sendelani</w:t>
            </w:r>
          </w:p>
        </w:tc>
      </w:tr>
      <w:tr>
        <w:tc>
          <w:tcPr>
            <w:tcW w:type="dxa" w:w="2835"/>
            <w:shd w:val="clear" w:color="auto" w:fill="0B3D91"/>
          </w:tcPr>
          <w:p>
            <w:r/>
            <w:r>
              <w:rPr>
                <w:b/>
                <w:color w:val="FFFFFF"/>
                <w:sz w:val="22"/>
              </w:rPr>
              <w:t>Client Location</w:t>
            </w:r>
          </w:p>
        </w:tc>
        <w:tc>
          <w:tcPr>
            <w:tcW w:type="dxa" w:w="6236"/>
          </w:tcPr>
          <w:p>
            <w:r/>
            <w:r>
              <w:rPr>
                <w:sz w:val="22"/>
              </w:rPr>
              <w:t>Bochum, Limpopo, South Africa</w:t>
            </w:r>
          </w:p>
        </w:tc>
      </w:tr>
      <w:tr>
        <w:tc>
          <w:tcPr>
            <w:tcW w:type="dxa" w:w="2835"/>
            <w:shd w:val="clear" w:color="auto" w:fill="0B3D91"/>
          </w:tcPr>
          <w:p>
            <w:r/>
            <w:r>
              <w:rPr>
                <w:b/>
                <w:color w:val="FFFFFF"/>
                <w:sz w:val="22"/>
              </w:rPr>
              <w:t>Submission Date</w:t>
            </w:r>
          </w:p>
        </w:tc>
        <w:tc>
          <w:tcPr>
            <w:tcW w:type="dxa" w:w="6236"/>
          </w:tcPr>
          <w:p>
            <w:r/>
            <w:r>
              <w:rPr>
                <w:sz w:val="22"/>
              </w:rPr>
              <w:t>22 April 2026</w:t>
            </w:r>
          </w:p>
        </w:tc>
      </w:tr>
      <w:tr>
        <w:tc>
          <w:tcPr>
            <w:tcW w:type="dxa" w:w="2835"/>
            <w:shd w:val="clear" w:color="auto" w:fill="0B3D91"/>
          </w:tcPr>
          <w:p>
            <w:r/>
            <w:r>
              <w:rPr>
                <w:b/>
                <w:color w:val="FFFFFF"/>
                <w:sz w:val="22"/>
              </w:rPr>
              <w:t>Document Version</w:t>
            </w:r>
          </w:p>
        </w:tc>
        <w:tc>
          <w:tcPr>
            <w:tcW w:type="dxa" w:w="6236"/>
          </w:tcPr>
          <w:p>
            <w:r/>
            <w:r>
              <w:rPr>
                <w:sz w:val="22"/>
              </w:rPr>
              <w:t>1.0 – Final</w:t>
            </w:r>
          </w:p>
        </w:tc>
      </w:tr>
    </w:tbl>
    <w:p>
      <w:r>
        <w:br w:type="page"/>
      </w:r>
    </w:p>
    <w:p>
      <w:pPr>
        <w:pStyle w:val="Heading1"/>
      </w:pPr>
      <w:r>
        <w:rPr>
          <w:rFonts w:ascii="Calibri" w:hAnsi="Calibri"/>
          <w:color w:val="0B3D91"/>
        </w:rPr>
        <w:t>Annexure D – Assessment Rubric Cover Sheet</w:t>
      </w:r>
    </w:p>
    <w:p>
      <w:r>
        <w:rPr>
          <w:b w:val="0"/>
          <w:i/>
          <w:color w:val="222222"/>
          <w:sz w:val="22"/>
        </w:rPr>
        <w:t>Include this rubric with the submission as part of the ONE document.</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0B3D91"/>
          </w:tcPr>
          <w:p>
            <w:r>
              <w:rPr>
                <w:b/>
                <w:color w:val="FFFFFF"/>
              </w:rPr>
              <w:t>MODULE NAME</w:t>
            </w:r>
          </w:p>
        </w:tc>
        <w:tc>
          <w:tcPr>
            <w:tcW w:type="dxa" w:w="4873"/>
            <w:shd w:val="clear" w:color="auto" w:fill="0B3D91"/>
          </w:tcPr>
          <w:p>
            <w:r>
              <w:rPr>
                <w:b/>
                <w:color w:val="FFFFFF"/>
              </w:rPr>
              <w:t>MODULE CODE</w:t>
            </w:r>
          </w:p>
        </w:tc>
      </w:tr>
      <w:tr>
        <w:tc>
          <w:tcPr>
            <w:tcW w:type="dxa" w:w="4873"/>
          </w:tcPr>
          <w:p>
            <w:r>
              <w:t>WIL – Work Integrated Learning 3A</w:t>
            </w:r>
          </w:p>
        </w:tc>
        <w:tc>
          <w:tcPr>
            <w:tcW w:type="dxa" w:w="4873"/>
          </w:tcPr>
          <w:p>
            <w:r>
              <w:t>XISD5319</w:t>
            </w:r>
          </w:p>
        </w:tc>
      </w:tr>
    </w:tbl>
    <w:p/>
    <w:p>
      <w:r>
        <w:rPr>
          <w:b/>
          <w:i w:val="0"/>
          <w:color w:val="0B3D91"/>
          <w:sz w:val="24"/>
        </w:rPr>
        <w:t>Group Members</w:t>
      </w:r>
    </w:p>
    <w:tbl>
      <w:tblPr>
        <w:tblStyle w:val="LightGrid-Accent1"/>
        <w:tblW w:type="auto" w:w="0"/>
        <w:tblLook w:firstColumn="1" w:firstRow="1" w:lastColumn="0" w:lastRow="0" w:noHBand="0" w:noVBand="1" w:val="04A0"/>
      </w:tblPr>
      <w:tblGrid>
        <w:gridCol w:w="4873"/>
        <w:gridCol w:w="4873"/>
      </w:tblGrid>
      <w:tr>
        <w:tc>
          <w:tcPr>
            <w:tcW w:type="dxa" w:w="4873"/>
          </w:tcPr>
          <w:p>
            <w:r>
              <w:t>Student Name</w:t>
            </w:r>
          </w:p>
        </w:tc>
        <w:tc>
          <w:tcPr>
            <w:tcW w:type="dxa" w:w="4873"/>
          </w:tcPr>
          <w:p>
            <w:r>
              <w:t>Jones Sepuru</w:t>
            </w:r>
          </w:p>
        </w:tc>
      </w:tr>
      <w:tr>
        <w:tc>
          <w:tcPr>
            <w:tcW w:type="dxa" w:w="4873"/>
          </w:tcPr>
          <w:p>
            <w:r>
              <w:t>Student Number</w:t>
            </w:r>
          </w:p>
        </w:tc>
        <w:tc>
          <w:tcPr>
            <w:tcW w:type="dxa" w:w="4873"/>
          </w:tcPr>
          <w:p>
            <w:r>
              <w:t>[Insert Student Number]</w:t>
            </w:r>
          </w:p>
        </w:tc>
      </w:tr>
      <w:tr>
        <w:tc>
          <w:tcPr>
            <w:tcW w:type="dxa" w:w="4873"/>
          </w:tcPr>
          <w:p>
            <w:r>
              <w:t>Student Name</w:t>
            </w:r>
          </w:p>
        </w:tc>
        <w:tc>
          <w:tcPr>
            <w:tcW w:type="dxa" w:w="4873"/>
          </w:tcPr>
          <w:p>
            <w:r>
              <w:t>Khumela Sendelani</w:t>
            </w:r>
          </w:p>
        </w:tc>
      </w:tr>
      <w:tr>
        <w:tc>
          <w:tcPr>
            <w:tcW w:type="dxa" w:w="4873"/>
          </w:tcPr>
          <w:p>
            <w:r>
              <w:t>Student Number</w:t>
            </w:r>
          </w:p>
        </w:tc>
        <w:tc>
          <w:tcPr>
            <w:tcW w:type="dxa" w:w="4873"/>
          </w:tcPr>
          <w:p>
            <w:r>
              <w:t>[Insert Student Number]</w:t>
            </w:r>
          </w:p>
        </w:tc>
      </w:tr>
    </w:tbl>
    <w:p/>
    <w:p>
      <w:r>
        <w:rPr>
          <w:b/>
          <w:i w:val="0"/>
          <w:color w:val="0B3D91"/>
          <w:sz w:val="24"/>
        </w:rPr>
        <w:t>Task 1 Marking Rubric – Self Assessment Mapping</w:t>
      </w:r>
    </w:p>
    <w:p>
      <w:r>
        <w:rPr>
          <w:b w:val="0"/>
          <w:i/>
          <w:color w:val="222222"/>
          <w:sz w:val="22"/>
        </w:rPr>
        <w:t>Each criterion below is addressed in the corresponding numbered section of this document.</w:t>
      </w:r>
    </w:p>
    <w:tbl>
      <w:tblPr>
        <w:tblStyle w:val="LightGrid-Accent1"/>
        <w:tblW w:type="auto" w:w="0"/>
        <w:jc w:val="center"/>
        <w:tblLook w:firstColumn="1" w:firstRow="1" w:lastColumn="0" w:lastRow="0" w:noHBand="0" w:noVBand="1" w:val="04A0"/>
      </w:tblPr>
      <w:tblGrid>
        <w:gridCol w:w="3249"/>
        <w:gridCol w:w="3249"/>
        <w:gridCol w:w="3249"/>
      </w:tblGrid>
      <w:tr>
        <w:tc>
          <w:tcPr>
            <w:tcW w:type="dxa" w:w="3969"/>
            <w:shd w:val="clear" w:color="auto" w:fill="0B3D91"/>
            <w:vAlign w:val="center"/>
          </w:tcPr>
          <w:p>
            <w:r/>
            <w:r>
              <w:rPr>
                <w:b/>
                <w:color w:val="FFFFFF"/>
                <w:sz w:val="20"/>
              </w:rPr>
              <w:t>Marking Criteria</w:t>
            </w:r>
          </w:p>
        </w:tc>
        <w:tc>
          <w:tcPr>
            <w:tcW w:type="dxa" w:w="1701"/>
            <w:shd w:val="clear" w:color="auto" w:fill="0B3D91"/>
            <w:vAlign w:val="center"/>
          </w:tcPr>
          <w:p>
            <w:r/>
            <w:r>
              <w:rPr>
                <w:b/>
                <w:color w:val="FFFFFF"/>
                <w:sz w:val="20"/>
              </w:rPr>
              <w:t>Marks</w:t>
            </w:r>
          </w:p>
        </w:tc>
        <w:tc>
          <w:tcPr>
            <w:tcW w:type="dxa" w:w="3402"/>
            <w:shd w:val="clear" w:color="auto" w:fill="0B3D91"/>
            <w:vAlign w:val="center"/>
          </w:tcPr>
          <w:p>
            <w:r/>
            <w:r>
              <w:rPr>
                <w:b/>
                <w:color w:val="FFFFFF"/>
                <w:sz w:val="20"/>
              </w:rPr>
              <w:t>Addressed In</w:t>
            </w:r>
          </w:p>
        </w:tc>
      </w:tr>
      <w:tr>
        <w:tc>
          <w:tcPr>
            <w:tcW w:type="dxa" w:w="3969"/>
            <w:vAlign w:val="center"/>
          </w:tcPr>
          <w:p>
            <w:r/>
            <w:r>
              <w:rPr>
                <w:sz w:val="19"/>
              </w:rPr>
              <w:t>Introduction</w:t>
            </w:r>
          </w:p>
        </w:tc>
        <w:tc>
          <w:tcPr>
            <w:tcW w:type="dxa" w:w="1701"/>
            <w:vAlign w:val="center"/>
          </w:tcPr>
          <w:p>
            <w:r/>
            <w:r>
              <w:rPr>
                <w:sz w:val="19"/>
              </w:rPr>
              <w:t>5</w:t>
            </w:r>
          </w:p>
        </w:tc>
        <w:tc>
          <w:tcPr>
            <w:tcW w:type="dxa" w:w="3402"/>
            <w:vAlign w:val="center"/>
          </w:tcPr>
          <w:p>
            <w:r/>
            <w:r>
              <w:rPr>
                <w:sz w:val="19"/>
              </w:rPr>
              <w:t>Section 1</w:t>
            </w:r>
          </w:p>
        </w:tc>
      </w:tr>
      <w:tr>
        <w:tc>
          <w:tcPr>
            <w:tcW w:type="dxa" w:w="3969"/>
            <w:vAlign w:val="center"/>
          </w:tcPr>
          <w:p>
            <w:r/>
            <w:r>
              <w:rPr>
                <w:sz w:val="19"/>
              </w:rPr>
              <w:t>Milestones &amp; Deliverables</w:t>
            </w:r>
          </w:p>
        </w:tc>
        <w:tc>
          <w:tcPr>
            <w:tcW w:type="dxa" w:w="1701"/>
            <w:vAlign w:val="center"/>
          </w:tcPr>
          <w:p>
            <w:r/>
            <w:r>
              <w:rPr>
                <w:sz w:val="19"/>
              </w:rPr>
              <w:t>5</w:t>
            </w:r>
          </w:p>
        </w:tc>
        <w:tc>
          <w:tcPr>
            <w:tcW w:type="dxa" w:w="3402"/>
            <w:vAlign w:val="center"/>
          </w:tcPr>
          <w:p>
            <w:r/>
            <w:r>
              <w:rPr>
                <w:sz w:val="19"/>
              </w:rPr>
              <w:t>Section 2</w:t>
            </w:r>
          </w:p>
        </w:tc>
      </w:tr>
      <w:tr>
        <w:tc>
          <w:tcPr>
            <w:tcW w:type="dxa" w:w="3969"/>
            <w:vAlign w:val="center"/>
          </w:tcPr>
          <w:p>
            <w:r/>
            <w:r>
              <w:rPr>
                <w:sz w:val="19"/>
              </w:rPr>
              <w:t>Work Breakdown Structure</w:t>
            </w:r>
          </w:p>
        </w:tc>
        <w:tc>
          <w:tcPr>
            <w:tcW w:type="dxa" w:w="1701"/>
            <w:vAlign w:val="center"/>
          </w:tcPr>
          <w:p>
            <w:r/>
            <w:r>
              <w:rPr>
                <w:sz w:val="19"/>
              </w:rPr>
              <w:t>10</w:t>
            </w:r>
          </w:p>
        </w:tc>
        <w:tc>
          <w:tcPr>
            <w:tcW w:type="dxa" w:w="3402"/>
            <w:vAlign w:val="center"/>
          </w:tcPr>
          <w:p>
            <w:r/>
            <w:r>
              <w:rPr>
                <w:sz w:val="19"/>
              </w:rPr>
              <w:t>Section 3</w:t>
            </w:r>
          </w:p>
        </w:tc>
      </w:tr>
      <w:tr>
        <w:tc>
          <w:tcPr>
            <w:tcW w:type="dxa" w:w="3969"/>
            <w:vAlign w:val="center"/>
          </w:tcPr>
          <w:p>
            <w:r/>
            <w:r>
              <w:rPr>
                <w:sz w:val="19"/>
              </w:rPr>
              <w:t>Gantt Chart &amp; Interpretation</w:t>
            </w:r>
          </w:p>
        </w:tc>
        <w:tc>
          <w:tcPr>
            <w:tcW w:type="dxa" w:w="1701"/>
            <w:vAlign w:val="center"/>
          </w:tcPr>
          <w:p>
            <w:r/>
            <w:r>
              <w:rPr>
                <w:sz w:val="19"/>
              </w:rPr>
              <w:t>10</w:t>
            </w:r>
          </w:p>
        </w:tc>
        <w:tc>
          <w:tcPr>
            <w:tcW w:type="dxa" w:w="3402"/>
            <w:vAlign w:val="center"/>
          </w:tcPr>
          <w:p>
            <w:r/>
            <w:r>
              <w:rPr>
                <w:sz w:val="19"/>
              </w:rPr>
              <w:t>Section 4</w:t>
            </w:r>
          </w:p>
        </w:tc>
      </w:tr>
      <w:tr>
        <w:tc>
          <w:tcPr>
            <w:tcW w:type="dxa" w:w="3969"/>
            <w:vAlign w:val="center"/>
          </w:tcPr>
          <w:p>
            <w:r/>
            <w:r>
              <w:rPr>
                <w:sz w:val="19"/>
              </w:rPr>
              <w:t>Risk Management</w:t>
            </w:r>
          </w:p>
        </w:tc>
        <w:tc>
          <w:tcPr>
            <w:tcW w:type="dxa" w:w="1701"/>
            <w:vAlign w:val="center"/>
          </w:tcPr>
          <w:p>
            <w:r/>
            <w:r>
              <w:rPr>
                <w:sz w:val="19"/>
              </w:rPr>
              <w:t>20</w:t>
            </w:r>
          </w:p>
        </w:tc>
        <w:tc>
          <w:tcPr>
            <w:tcW w:type="dxa" w:w="3402"/>
            <w:vAlign w:val="center"/>
          </w:tcPr>
          <w:p>
            <w:r/>
            <w:r>
              <w:rPr>
                <w:sz w:val="19"/>
              </w:rPr>
              <w:t>Section 5</w:t>
            </w:r>
          </w:p>
        </w:tc>
      </w:tr>
      <w:tr>
        <w:tc>
          <w:tcPr>
            <w:tcW w:type="dxa" w:w="3969"/>
            <w:vAlign w:val="center"/>
          </w:tcPr>
          <w:p>
            <w:r/>
            <w:r>
              <w:rPr>
                <w:sz w:val="19"/>
              </w:rPr>
              <w:t>Technical Feasibility</w:t>
            </w:r>
          </w:p>
        </w:tc>
        <w:tc>
          <w:tcPr>
            <w:tcW w:type="dxa" w:w="1701"/>
            <w:vAlign w:val="center"/>
          </w:tcPr>
          <w:p>
            <w:r/>
            <w:r>
              <w:rPr>
                <w:sz w:val="19"/>
              </w:rPr>
              <w:t>15</w:t>
            </w:r>
          </w:p>
        </w:tc>
        <w:tc>
          <w:tcPr>
            <w:tcW w:type="dxa" w:w="3402"/>
            <w:vAlign w:val="center"/>
          </w:tcPr>
          <w:p>
            <w:r/>
            <w:r>
              <w:rPr>
                <w:sz w:val="19"/>
              </w:rPr>
              <w:t>Section 6</w:t>
            </w:r>
          </w:p>
        </w:tc>
      </w:tr>
      <w:tr>
        <w:tc>
          <w:tcPr>
            <w:tcW w:type="dxa" w:w="3969"/>
            <w:vAlign w:val="center"/>
          </w:tcPr>
          <w:p>
            <w:r/>
            <w:r>
              <w:rPr>
                <w:sz w:val="19"/>
              </w:rPr>
              <w:t>Economic Feasibility</w:t>
            </w:r>
          </w:p>
        </w:tc>
        <w:tc>
          <w:tcPr>
            <w:tcW w:type="dxa" w:w="1701"/>
            <w:vAlign w:val="center"/>
          </w:tcPr>
          <w:p>
            <w:r/>
            <w:r>
              <w:rPr>
                <w:sz w:val="19"/>
              </w:rPr>
              <w:t>15</w:t>
            </w:r>
          </w:p>
        </w:tc>
        <w:tc>
          <w:tcPr>
            <w:tcW w:type="dxa" w:w="3402"/>
            <w:vAlign w:val="center"/>
          </w:tcPr>
          <w:p>
            <w:r/>
            <w:r>
              <w:rPr>
                <w:sz w:val="19"/>
              </w:rPr>
              <w:t>Section 7</w:t>
            </w:r>
          </w:p>
        </w:tc>
      </w:tr>
      <w:tr>
        <w:tc>
          <w:tcPr>
            <w:tcW w:type="dxa" w:w="3969"/>
            <w:vAlign w:val="center"/>
          </w:tcPr>
          <w:p>
            <w:r/>
            <w:r>
              <w:rPr>
                <w:sz w:val="19"/>
              </w:rPr>
              <w:t>Team Members</w:t>
            </w:r>
          </w:p>
        </w:tc>
        <w:tc>
          <w:tcPr>
            <w:tcW w:type="dxa" w:w="1701"/>
            <w:vAlign w:val="center"/>
          </w:tcPr>
          <w:p>
            <w:r/>
            <w:r>
              <w:rPr>
                <w:sz w:val="19"/>
              </w:rPr>
              <w:t>5</w:t>
            </w:r>
          </w:p>
        </w:tc>
        <w:tc>
          <w:tcPr>
            <w:tcW w:type="dxa" w:w="3402"/>
            <w:vAlign w:val="center"/>
          </w:tcPr>
          <w:p>
            <w:r/>
            <w:r>
              <w:rPr>
                <w:sz w:val="19"/>
              </w:rPr>
              <w:t>Section 8</w:t>
            </w:r>
          </w:p>
        </w:tc>
      </w:tr>
      <w:tr>
        <w:tc>
          <w:tcPr>
            <w:tcW w:type="dxa" w:w="3969"/>
            <w:vAlign w:val="center"/>
          </w:tcPr>
          <w:p>
            <w:r/>
            <w:r>
              <w:rPr>
                <w:sz w:val="19"/>
              </w:rPr>
              <w:t>Document Format &amp; Layout</w:t>
            </w:r>
          </w:p>
        </w:tc>
        <w:tc>
          <w:tcPr>
            <w:tcW w:type="dxa" w:w="1701"/>
            <w:vAlign w:val="center"/>
          </w:tcPr>
          <w:p>
            <w:r/>
            <w:r>
              <w:rPr>
                <w:sz w:val="19"/>
              </w:rPr>
              <w:t>15</w:t>
            </w:r>
          </w:p>
        </w:tc>
        <w:tc>
          <w:tcPr>
            <w:tcW w:type="dxa" w:w="3402"/>
            <w:vAlign w:val="center"/>
          </w:tcPr>
          <w:p>
            <w:r/>
            <w:r>
              <w:rPr>
                <w:sz w:val="19"/>
              </w:rPr>
              <w:t>Throughout Document</w:t>
            </w:r>
          </w:p>
        </w:tc>
      </w:tr>
      <w:tr>
        <w:tc>
          <w:tcPr>
            <w:tcW w:type="dxa" w:w="3969"/>
            <w:vAlign w:val="center"/>
          </w:tcPr>
          <w:p>
            <w:r/>
            <w:r>
              <w:rPr>
                <w:sz w:val="19"/>
              </w:rPr>
              <w:t>TOTAL</w:t>
            </w:r>
          </w:p>
        </w:tc>
        <w:tc>
          <w:tcPr>
            <w:tcW w:type="dxa" w:w="1701"/>
            <w:vAlign w:val="center"/>
          </w:tcPr>
          <w:p>
            <w:r/>
            <w:r>
              <w:rPr>
                <w:sz w:val="19"/>
              </w:rPr>
              <w:t>100</w:t>
            </w:r>
          </w:p>
        </w:tc>
        <w:tc>
          <w:tcPr>
            <w:tcW w:type="dxa" w:w="3402"/>
            <w:vAlign w:val="center"/>
          </w:tcPr>
          <w:p>
            <w:r/>
            <w:r>
              <w:rPr>
                <w:sz w:val="19"/>
              </w:rPr>
              <w:t>—</w:t>
            </w:r>
          </w:p>
        </w:tc>
      </w:tr>
    </w:tbl>
    <w:p>
      <w:r>
        <w:br w:type="page"/>
      </w:r>
    </w:p>
    <w:p>
      <w:pPr>
        <w:pStyle w:val="Heading1"/>
      </w:pPr>
      <w:r>
        <w:rPr>
          <w:rFonts w:ascii="Calibri" w:hAnsi="Calibri"/>
          <w:color w:val="0B3D91"/>
        </w:rPr>
        <w:t>Executive Summary</w:t>
      </w:r>
    </w:p>
    <w:p>
      <w:r>
        <w:rPr>
          <w:b w:val="0"/>
          <w:i w:val="0"/>
          <w:color w:val="222222"/>
          <w:sz w:val="22"/>
        </w:rPr>
        <w:t>MJSCYBER PTY LTD (Reg 2022/201980/07), a registered private security training provider based in Bochum, Limpopo, is transitioning from paper-based operations to a fully digital training and service-delivery platform. This Project Plan defines the scope, schedule, cost and risk profile for the delivery of the MJSCYBER Security School Web Application &amp; Database over a 14-week window (04 May – 05 August 2026).</w:t>
      </w:r>
    </w:p>
    <w:p>
      <w:r>
        <w:rPr>
          <w:b/>
          <w:i w:val="0"/>
          <w:color w:val="0B3D91"/>
          <w:sz w:val="24"/>
        </w:rPr>
        <w:t>At a Glance</w:t>
      </w:r>
    </w:p>
    <w:tbl>
      <w:tblPr>
        <w:tblStyle w:val="LightGrid-Accent1"/>
        <w:tblW w:type="auto" w:w="0"/>
        <w:jc w:val="center"/>
        <w:tblLook w:firstColumn="1" w:firstRow="1" w:lastColumn="0" w:lastRow="0" w:noHBand="0" w:noVBand="1" w:val="04A0"/>
      </w:tblPr>
      <w:tblGrid>
        <w:gridCol w:w="4873"/>
        <w:gridCol w:w="4873"/>
      </w:tblGrid>
      <w:tr>
        <w:tc>
          <w:tcPr>
            <w:tcW w:type="dxa" w:w="2551"/>
            <w:shd w:val="clear" w:color="auto" w:fill="0B3D91"/>
            <w:vAlign w:val="center"/>
          </w:tcPr>
          <w:p>
            <w:r/>
            <w:r>
              <w:rPr>
                <w:b/>
                <w:color w:val="FFFFFF"/>
                <w:sz w:val="20"/>
              </w:rPr>
              <w:t>Dimension</w:t>
            </w:r>
          </w:p>
        </w:tc>
        <w:tc>
          <w:tcPr>
            <w:tcW w:type="dxa" w:w="6520"/>
            <w:shd w:val="clear" w:color="auto" w:fill="0B3D91"/>
            <w:vAlign w:val="center"/>
          </w:tcPr>
          <w:p>
            <w:r/>
            <w:r>
              <w:rPr>
                <w:b/>
                <w:color w:val="FFFFFF"/>
                <w:sz w:val="20"/>
              </w:rPr>
              <w:t>Summary</w:t>
            </w:r>
          </w:p>
        </w:tc>
      </w:tr>
      <w:tr>
        <w:tc>
          <w:tcPr>
            <w:tcW w:type="dxa" w:w="2551"/>
            <w:vAlign w:val="center"/>
          </w:tcPr>
          <w:p>
            <w:r/>
            <w:r>
              <w:rPr>
                <w:sz w:val="19"/>
              </w:rPr>
              <w:t>Client</w:t>
            </w:r>
          </w:p>
        </w:tc>
        <w:tc>
          <w:tcPr>
            <w:tcW w:type="dxa" w:w="6520"/>
            <w:vAlign w:val="center"/>
          </w:tcPr>
          <w:p>
            <w:r/>
            <w:r>
              <w:rPr>
                <w:sz w:val="19"/>
              </w:rPr>
              <w:t>MJSCYBER PTY LTD — Bochum, Limpopo</w:t>
            </w:r>
          </w:p>
        </w:tc>
      </w:tr>
      <w:tr>
        <w:tc>
          <w:tcPr>
            <w:tcW w:type="dxa" w:w="2551"/>
            <w:vAlign w:val="center"/>
          </w:tcPr>
          <w:p>
            <w:r/>
            <w:r>
              <w:rPr>
                <w:sz w:val="19"/>
              </w:rPr>
              <w:t>Project</w:t>
            </w:r>
          </w:p>
        </w:tc>
        <w:tc>
          <w:tcPr>
            <w:tcW w:type="dxa" w:w="6520"/>
            <w:vAlign w:val="center"/>
          </w:tcPr>
          <w:p>
            <w:r/>
            <w:r>
              <w:rPr>
                <w:sz w:val="19"/>
              </w:rPr>
              <w:t>3-tier web app: Student Enrolment, Grading, Digital Certification, VIP &amp; Site-Security Scheduling, Admin Dashboard</w:t>
            </w:r>
          </w:p>
        </w:tc>
      </w:tr>
      <w:tr>
        <w:tc>
          <w:tcPr>
            <w:tcW w:type="dxa" w:w="2551"/>
            <w:vAlign w:val="center"/>
          </w:tcPr>
          <w:p>
            <w:r/>
            <w:r>
              <w:rPr>
                <w:sz w:val="19"/>
              </w:rPr>
              <w:t>Team</w:t>
            </w:r>
          </w:p>
        </w:tc>
        <w:tc>
          <w:tcPr>
            <w:tcW w:type="dxa" w:w="6520"/>
            <w:vAlign w:val="center"/>
          </w:tcPr>
          <w:p>
            <w:r/>
            <w:r>
              <w:rPr>
                <w:sz w:val="19"/>
              </w:rPr>
              <w:t>Jones Sepuru (PM &amp; Lead Backend)  •  Khumela Sendelani (Lead Frontend &amp; Docs)</w:t>
            </w:r>
          </w:p>
        </w:tc>
      </w:tr>
      <w:tr>
        <w:tc>
          <w:tcPr>
            <w:tcW w:type="dxa" w:w="2551"/>
            <w:vAlign w:val="center"/>
          </w:tcPr>
          <w:p>
            <w:r/>
            <w:r>
              <w:rPr>
                <w:sz w:val="19"/>
              </w:rPr>
              <w:t>Duration</w:t>
            </w:r>
          </w:p>
        </w:tc>
        <w:tc>
          <w:tcPr>
            <w:tcW w:type="dxa" w:w="6520"/>
            <w:vAlign w:val="center"/>
          </w:tcPr>
          <w:p>
            <w:r/>
            <w:r>
              <w:rPr>
                <w:sz w:val="19"/>
              </w:rPr>
              <w:t>70 working days (~14 weeks) — 5 phases, 20 tasks, 5 milestones</w:t>
            </w:r>
          </w:p>
        </w:tc>
      </w:tr>
      <w:tr>
        <w:tc>
          <w:tcPr>
            <w:tcW w:type="dxa" w:w="2551"/>
            <w:vAlign w:val="center"/>
          </w:tcPr>
          <w:p>
            <w:r/>
            <w:r>
              <w:rPr>
                <w:sz w:val="19"/>
              </w:rPr>
              <w:t>Total Budget</w:t>
            </w:r>
          </w:p>
        </w:tc>
        <w:tc>
          <w:tcPr>
            <w:tcW w:type="dxa" w:w="6520"/>
            <w:vAlign w:val="center"/>
          </w:tcPr>
          <w:p>
            <w:r/>
            <w:r>
              <w:rPr>
                <w:sz w:val="19"/>
              </w:rPr>
              <w:t>R 84 500 (incl. 9 % contingency)</w:t>
            </w:r>
          </w:p>
        </w:tc>
      </w:tr>
      <w:tr>
        <w:tc>
          <w:tcPr>
            <w:tcW w:type="dxa" w:w="2551"/>
            <w:vAlign w:val="center"/>
          </w:tcPr>
          <w:p>
            <w:r/>
            <w:r>
              <w:rPr>
                <w:sz w:val="19"/>
              </w:rPr>
              <w:t>ROI Payback</w:t>
            </w:r>
          </w:p>
        </w:tc>
        <w:tc>
          <w:tcPr>
            <w:tcW w:type="dxa" w:w="6520"/>
            <w:vAlign w:val="center"/>
          </w:tcPr>
          <w:p>
            <w:r/>
            <w:r>
              <w:rPr>
                <w:sz w:val="19"/>
              </w:rPr>
              <w:t>≈ 8.9 months</w:t>
            </w:r>
          </w:p>
        </w:tc>
      </w:tr>
      <w:tr>
        <w:tc>
          <w:tcPr>
            <w:tcW w:type="dxa" w:w="2551"/>
            <w:vAlign w:val="center"/>
          </w:tcPr>
          <w:p>
            <w:r/>
            <w:r>
              <w:rPr>
                <w:sz w:val="19"/>
              </w:rPr>
              <w:t>Key Risks</w:t>
            </w:r>
          </w:p>
        </w:tc>
        <w:tc>
          <w:tcPr>
            <w:tcW w:type="dxa" w:w="6520"/>
            <w:vAlign w:val="center"/>
          </w:tcPr>
          <w:p>
            <w:r/>
            <w:r>
              <w:rPr>
                <w:sz w:val="19"/>
              </w:rPr>
              <w:t>8 risks registered; top 3: load-shedding, scope creep, data-security breach</w:t>
            </w:r>
          </w:p>
        </w:tc>
      </w:tr>
      <w:tr>
        <w:tc>
          <w:tcPr>
            <w:tcW w:type="dxa" w:w="2551"/>
            <w:vAlign w:val="center"/>
          </w:tcPr>
          <w:p>
            <w:r/>
            <w:r>
              <w:rPr>
                <w:sz w:val="19"/>
              </w:rPr>
              <w:t>Go-Live</w:t>
            </w:r>
          </w:p>
        </w:tc>
        <w:tc>
          <w:tcPr>
            <w:tcW w:type="dxa" w:w="6520"/>
            <w:vAlign w:val="center"/>
          </w:tcPr>
          <w:p>
            <w:r/>
            <w:r>
              <w:rPr>
                <w:sz w:val="19"/>
              </w:rPr>
              <w:t>05 August 2026</w:t>
            </w:r>
          </w:p>
        </w:tc>
      </w:tr>
    </w:tbl>
    <w:p>
      <w:pPr>
        <w:jc w:val="center"/>
      </w:pPr>
      <w:r>
        <w:rPr>
          <w:i/>
          <w:color w:val="0B3D91"/>
          <w:sz w:val="19"/>
        </w:rPr>
        <w:t>Table 0.1 – Project at a glance</w:t>
      </w:r>
    </w:p>
    <w:p>
      <w:r>
        <w:rPr>
          <w:b/>
          <w:i w:val="0"/>
          <w:color w:val="0B3D91"/>
          <w:sz w:val="24"/>
        </w:rPr>
        <w:t>Business Value</w:t>
      </w:r>
    </w:p>
    <w:p>
      <w:pPr>
        <w:jc w:val="center"/>
      </w:pPr>
      <w:r>
        <w:drawing>
          <wp:inline xmlns:a="http://schemas.openxmlformats.org/drawingml/2006/main" xmlns:pic="http://schemas.openxmlformats.org/drawingml/2006/picture">
            <wp:extent cx="4680000" cy="3120000"/>
            <wp:docPr id="3" name="Picture 3"/>
            <wp:cNvGraphicFramePr>
              <a:graphicFrameLocks noChangeAspect="1"/>
            </wp:cNvGraphicFramePr>
            <a:graphic>
              <a:graphicData uri="http://schemas.openxmlformats.org/drawingml/2006/picture">
                <pic:pic>
                  <pic:nvPicPr>
                    <pic:cNvPr id="0" name="certificate.jp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0B3D91"/>
          <w:sz w:val="19"/>
        </w:rPr>
        <w:t>Figure 0.1 – Tamper-proof digital certificates with QR verification</w:t>
      </w:r>
    </w:p>
    <w:p>
      <w:pPr>
        <w:pStyle w:val="ListBullet"/>
      </w:pPr>
      <w:r>
        <w:t>70 % reduction in administrative time per student intake.</w:t>
      </w:r>
    </w:p>
    <w:p>
      <w:pPr>
        <w:pStyle w:val="ListBullet"/>
      </w:pPr>
      <w:r>
        <w:t>Tamper-proof digital certificates with a public QR-verification page — protects the MJSCYBER brand.</w:t>
      </w:r>
    </w:p>
    <w:p>
      <w:pPr>
        <w:pStyle w:val="ListBullet"/>
      </w:pPr>
      <w:r>
        <w:t>Real-time VIP and construction-site guard scheduling replaces spreadsheets and phone calls.</w:t>
      </w:r>
    </w:p>
    <w:p>
      <w:pPr>
        <w:pStyle w:val="ListBullet"/>
      </w:pPr>
      <w:r>
        <w:t>POPIA-aligned, auditable digital records satisfy PSiRA compliance.</w:t>
      </w:r>
    </w:p>
    <w:p>
      <w:pPr>
        <w:pStyle w:val="ListBullet"/>
      </w:pPr>
      <w:r>
        <w:t>Cloud-ready architecture enables expansion to additional campuses without a rebuild.</w:t>
      </w:r>
    </w:p>
    <w:p>
      <w:r>
        <w:rPr>
          <w:b/>
          <w:i w:val="0"/>
          <w:color w:val="0B3D91"/>
          <w:sz w:val="24"/>
        </w:rPr>
        <w:t>Recommendation</w:t>
      </w:r>
    </w:p>
    <w:p>
      <w:r>
        <w:rPr>
          <w:b w:val="0"/>
          <w:i/>
          <w:color w:val="222222"/>
          <w:sz w:val="22"/>
        </w:rPr>
        <w:t>This plan is technically, economically and operationally feasible within the proposed timeline and budget. Approval to proceed is therefore recommended, with kick-off on 04 May 2026.</w:t>
      </w:r>
    </w:p>
    <w:p>
      <w:r>
        <w:br w:type="page"/>
      </w:r>
    </w:p>
    <w:p>
      <w:pPr>
        <w:pStyle w:val="Heading1"/>
      </w:pPr>
      <w:r>
        <w:rPr>
          <w:rFonts w:ascii="Calibri" w:hAnsi="Calibri"/>
          <w:color w:val="0B3D91"/>
        </w:rPr>
        <w:t>Table of Contents</w:t>
      </w:r>
    </w:p>
    <w:tbl>
      <w:tblPr>
        <w:tblW w:type="auto" w:w="0"/>
        <w:tblLook w:firstColumn="1" w:firstRow="1" w:lastColumn="0" w:lastRow="0" w:noHBand="0" w:noVBand="1" w:val="04A0"/>
      </w:tblPr>
      <w:tblGrid>
        <w:gridCol w:w="3249"/>
        <w:gridCol w:w="3249"/>
        <w:gridCol w:w="3249"/>
      </w:tblGrid>
      <w:tr>
        <w:tc>
          <w:tcPr>
            <w:tcW w:type="dxa" w:w="3249"/>
          </w:tcPr>
          <w:p>
            <w:r>
              <w:rPr>
                <w:b/>
              </w:rPr>
              <w:t>0.</w:t>
            </w:r>
          </w:p>
        </w:tc>
        <w:tc>
          <w:tcPr>
            <w:tcW w:type="dxa" w:w="3249"/>
          </w:tcPr>
          <w:p>
            <w:r>
              <w:t>Executive Summary</w:t>
            </w:r>
          </w:p>
        </w:tc>
        <w:tc>
          <w:tcPr>
            <w:tcW w:type="dxa" w:w="3249"/>
          </w:tcPr>
          <w:p>
            <w:r>
              <w:t>3</w:t>
            </w:r>
          </w:p>
        </w:tc>
      </w:tr>
      <w:tr>
        <w:tc>
          <w:tcPr>
            <w:tcW w:type="dxa" w:w="3249"/>
          </w:tcPr>
          <w:p>
            <w:r>
              <w:rPr>
                <w:b/>
              </w:rPr>
              <w:t>1.</w:t>
            </w:r>
          </w:p>
        </w:tc>
        <w:tc>
          <w:tcPr>
            <w:tcW w:type="dxa" w:w="3249"/>
          </w:tcPr>
          <w:p>
            <w:r>
              <w:t>Introduction</w:t>
            </w:r>
          </w:p>
        </w:tc>
        <w:tc>
          <w:tcPr>
            <w:tcW w:type="dxa" w:w="3249"/>
          </w:tcPr>
          <w:p>
            <w:r>
              <w:t>5</w:t>
            </w:r>
          </w:p>
        </w:tc>
      </w:tr>
      <w:tr>
        <w:tc>
          <w:tcPr>
            <w:tcW w:type="dxa" w:w="3249"/>
          </w:tcPr>
          <w:p>
            <w:r>
              <w:rPr>
                <w:b/>
              </w:rPr>
              <w:t>2.</w:t>
            </w:r>
          </w:p>
        </w:tc>
        <w:tc>
          <w:tcPr>
            <w:tcW w:type="dxa" w:w="3249"/>
          </w:tcPr>
          <w:p>
            <w:r>
              <w:t>Milestones and Deliverables</w:t>
            </w:r>
          </w:p>
        </w:tc>
        <w:tc>
          <w:tcPr>
            <w:tcW w:type="dxa" w:w="3249"/>
          </w:tcPr>
          <w:p>
            <w:r>
              <w:t>6</w:t>
            </w:r>
          </w:p>
        </w:tc>
      </w:tr>
      <w:tr>
        <w:tc>
          <w:tcPr>
            <w:tcW w:type="dxa" w:w="3249"/>
          </w:tcPr>
          <w:p>
            <w:r>
              <w:rPr>
                <w:b/>
              </w:rPr>
              <w:t>3.</w:t>
            </w:r>
          </w:p>
        </w:tc>
        <w:tc>
          <w:tcPr>
            <w:tcW w:type="dxa" w:w="3249"/>
          </w:tcPr>
          <w:p>
            <w:r>
              <w:t>Work Breakdown Structure (WBS)</w:t>
            </w:r>
          </w:p>
        </w:tc>
        <w:tc>
          <w:tcPr>
            <w:tcW w:type="dxa" w:w="3249"/>
          </w:tcPr>
          <w:p>
            <w:r>
              <w:t>7</w:t>
            </w:r>
          </w:p>
        </w:tc>
      </w:tr>
      <w:tr>
        <w:tc>
          <w:tcPr>
            <w:tcW w:type="dxa" w:w="3249"/>
          </w:tcPr>
          <w:p>
            <w:r>
              <w:rPr>
                <w:b/>
              </w:rPr>
              <w:t>4.</w:t>
            </w:r>
          </w:p>
        </w:tc>
        <w:tc>
          <w:tcPr>
            <w:tcW w:type="dxa" w:w="3249"/>
          </w:tcPr>
          <w:p>
            <w:r>
              <w:t>Project Schedule – Gantt Chart &amp; Interpretation</w:t>
            </w:r>
          </w:p>
        </w:tc>
        <w:tc>
          <w:tcPr>
            <w:tcW w:type="dxa" w:w="3249"/>
          </w:tcPr>
          <w:p>
            <w:r>
              <w:t>9</w:t>
            </w:r>
          </w:p>
        </w:tc>
      </w:tr>
      <w:tr>
        <w:tc>
          <w:tcPr>
            <w:tcW w:type="dxa" w:w="3249"/>
          </w:tcPr>
          <w:p>
            <w:r>
              <w:rPr>
                <w:b/>
              </w:rPr>
              <w:t>5.</w:t>
            </w:r>
          </w:p>
        </w:tc>
        <w:tc>
          <w:tcPr>
            <w:tcW w:type="dxa" w:w="3249"/>
          </w:tcPr>
          <w:p>
            <w:r>
              <w:t>Risk Management</w:t>
            </w:r>
          </w:p>
        </w:tc>
        <w:tc>
          <w:tcPr>
            <w:tcW w:type="dxa" w:w="3249"/>
          </w:tcPr>
          <w:p>
            <w:r>
              <w:t>10</w:t>
            </w:r>
          </w:p>
        </w:tc>
      </w:tr>
      <w:tr>
        <w:tc>
          <w:tcPr>
            <w:tcW w:type="dxa" w:w="3249"/>
          </w:tcPr>
          <w:p>
            <w:r>
              <w:rPr>
                <w:b/>
              </w:rPr>
              <w:t>6.</w:t>
            </w:r>
          </w:p>
        </w:tc>
        <w:tc>
          <w:tcPr>
            <w:tcW w:type="dxa" w:w="3249"/>
          </w:tcPr>
          <w:p>
            <w:r>
              <w:t>Technical Feasibility</w:t>
            </w:r>
          </w:p>
        </w:tc>
        <w:tc>
          <w:tcPr>
            <w:tcW w:type="dxa" w:w="3249"/>
          </w:tcPr>
          <w:p>
            <w:r>
              <w:t>12</w:t>
            </w:r>
          </w:p>
        </w:tc>
      </w:tr>
      <w:tr>
        <w:tc>
          <w:tcPr>
            <w:tcW w:type="dxa" w:w="3249"/>
          </w:tcPr>
          <w:p>
            <w:r>
              <w:rPr>
                <w:b/>
              </w:rPr>
              <w:t>7.</w:t>
            </w:r>
          </w:p>
        </w:tc>
        <w:tc>
          <w:tcPr>
            <w:tcW w:type="dxa" w:w="3249"/>
          </w:tcPr>
          <w:p>
            <w:r>
              <w:t>Economic Feasibility</w:t>
            </w:r>
          </w:p>
        </w:tc>
        <w:tc>
          <w:tcPr>
            <w:tcW w:type="dxa" w:w="3249"/>
          </w:tcPr>
          <w:p>
            <w:r>
              <w:t>13</w:t>
            </w:r>
          </w:p>
        </w:tc>
      </w:tr>
      <w:tr>
        <w:tc>
          <w:tcPr>
            <w:tcW w:type="dxa" w:w="3249"/>
          </w:tcPr>
          <w:p>
            <w:r>
              <w:rPr>
                <w:b/>
              </w:rPr>
              <w:t>8.</w:t>
            </w:r>
          </w:p>
        </w:tc>
        <w:tc>
          <w:tcPr>
            <w:tcW w:type="dxa" w:w="3249"/>
          </w:tcPr>
          <w:p>
            <w:r>
              <w:t>Team Members</w:t>
            </w:r>
          </w:p>
        </w:tc>
        <w:tc>
          <w:tcPr>
            <w:tcW w:type="dxa" w:w="3249"/>
          </w:tcPr>
          <w:p>
            <w:r>
              <w:t>14</w:t>
            </w:r>
          </w:p>
        </w:tc>
      </w:tr>
      <w:tr>
        <w:tc>
          <w:tcPr>
            <w:tcW w:type="dxa" w:w="3249"/>
          </w:tcPr>
          <w:p>
            <w:r>
              <w:rPr>
                <w:b/>
              </w:rPr>
              <w:t>9.</w:t>
            </w:r>
          </w:p>
        </w:tc>
        <w:tc>
          <w:tcPr>
            <w:tcW w:type="dxa" w:w="3249"/>
          </w:tcPr>
          <w:p>
            <w:r>
              <w:t>Conclusion</w:t>
            </w:r>
          </w:p>
        </w:tc>
        <w:tc>
          <w:tcPr>
            <w:tcW w:type="dxa" w:w="3249"/>
          </w:tcPr>
          <w:p>
            <w:r>
              <w:t>15</w:t>
            </w:r>
          </w:p>
        </w:tc>
      </w:tr>
      <w:tr>
        <w:tc>
          <w:tcPr>
            <w:tcW w:type="dxa" w:w="3249"/>
          </w:tcPr>
          <w:p>
            <w:r>
              <w:rPr>
                <w:b/>
              </w:rPr>
              <w:t>10.</w:t>
            </w:r>
          </w:p>
        </w:tc>
        <w:tc>
          <w:tcPr>
            <w:tcW w:type="dxa" w:w="3249"/>
          </w:tcPr>
          <w:p>
            <w:r>
              <w:t>Appendices</w:t>
            </w:r>
          </w:p>
        </w:tc>
        <w:tc>
          <w:tcPr>
            <w:tcW w:type="dxa" w:w="3249"/>
          </w:tcPr>
          <w:p>
            <w:r>
              <w:t>16</w:t>
            </w:r>
          </w:p>
        </w:tc>
      </w:tr>
    </w:tbl>
    <w:p>
      <w:r>
        <w:br w:type="page"/>
      </w:r>
    </w:p>
    <w:p>
      <w:pPr>
        <w:pStyle w:val="Heading1"/>
      </w:pPr>
      <w:r>
        <w:rPr>
          <w:rFonts w:ascii="Calibri" w:hAnsi="Calibri"/>
          <w:color w:val="0B3D91"/>
        </w:rPr>
        <w:t>1. Introduction</w:t>
      </w:r>
    </w:p>
    <w:p>
      <w:pPr>
        <w:jc w:val="center"/>
      </w:pPr>
      <w:r>
        <w:drawing>
          <wp:inline xmlns:a="http://schemas.openxmlformats.org/drawingml/2006/main" xmlns:pic="http://schemas.openxmlformats.org/drawingml/2006/picture">
            <wp:extent cx="5760000" cy="3840000"/>
            <wp:docPr id="4" name="Picture 4"/>
            <wp:cNvGraphicFramePr>
              <a:graphicFrameLocks noChangeAspect="1"/>
            </wp:cNvGraphicFramePr>
            <a:graphic>
              <a:graphicData uri="http://schemas.openxmlformats.org/drawingml/2006/picture">
                <pic:pic>
                  <pic:nvPicPr>
                    <pic:cNvPr id="0" name="security_guard.jpg"/>
                    <pic:cNvPicPr/>
                  </pic:nvPicPr>
                  <pic:blipFill>
                    <a:blip r:embed="rId12"/>
                    <a:stretch>
                      <a:fillRect/>
                    </a:stretch>
                  </pic:blipFill>
                  <pic:spPr>
                    <a:xfrm>
                      <a:off x="0" y="0"/>
                      <a:ext cx="5760000" cy="3840000"/>
                    </a:xfrm>
                    <a:prstGeom prst="rect"/>
                  </pic:spPr>
                </pic:pic>
              </a:graphicData>
            </a:graphic>
          </wp:inline>
        </w:drawing>
      </w:r>
    </w:p>
    <w:p>
      <w:pPr>
        <w:jc w:val="center"/>
      </w:pPr>
      <w:r>
        <w:rPr>
          <w:i/>
          <w:color w:val="0B3D91"/>
          <w:sz w:val="19"/>
        </w:rPr>
        <w:t>Figure 1.1 – Private security and training is a high-growth sector in South Africa</w:t>
      </w:r>
    </w:p>
    <w:p>
      <w:r>
        <w:rPr>
          <w:b w:val="0"/>
          <w:i w:val="0"/>
          <w:color w:val="222222"/>
          <w:sz w:val="22"/>
        </w:rPr>
        <w:t>This project plan presents the complete roadmap for the development and deployment of the MJSCYBER Security School Web Application and Database. MJSCYBER PTY LTD (Registration 2022/201980/07), headquartered in Bochum, Limpopo, is a registered private security training provider specialising in guard training (Grades E–A), armed response, VIP protection and construction-site security. The organisation currently operates using paper-based registration, manual grading and physical certificate issuance, which introduces fraud risk, data loss and scaling limitations.</w:t>
      </w:r>
    </w:p>
    <w:p>
      <w:pPr>
        <w:pStyle w:val="Heading2"/>
      </w:pPr>
      <w:r>
        <w:rPr>
          <w:rFonts w:ascii="Calibri" w:hAnsi="Calibri"/>
          <w:color w:val="0B3D91"/>
        </w:rPr>
        <w:t>1.1 Customer Needs</w:t>
      </w:r>
    </w:p>
    <w:p>
      <w:pPr>
        <w:pStyle w:val="ListBullet"/>
      </w:pPr>
      <w:r>
        <w:t>Digitise the student registration, document-upload and payment workflow to eliminate paperwork.</w:t>
      </w:r>
    </w:p>
    <w:p>
      <w:pPr>
        <w:pStyle w:val="ListBullet"/>
      </w:pPr>
      <w:r>
        <w:t>Provide a tamper-proof certificate issuance and public verification mechanism to protect the MJSCYBER brand.</w:t>
      </w:r>
    </w:p>
    <w:p>
      <w:pPr>
        <w:pStyle w:val="ListBullet"/>
      </w:pPr>
      <w:r>
        <w:t>Enable real-time scheduling of VIP protection details and construction-site guard shifts.</w:t>
      </w:r>
    </w:p>
    <w:p>
      <w:pPr>
        <w:pStyle w:val="ListBullet"/>
      </w:pPr>
      <w:r>
        <w:t>Deliver an Admin dashboard that exposes enrolment, revenue and compliance reports at a glance.</w:t>
      </w:r>
    </w:p>
    <w:p>
      <w:pPr>
        <w:pStyle w:val="ListBullet"/>
      </w:pPr>
      <w:r>
        <w:t>Operate reliably on the limited bandwidth available in the Bochum / Limpopo region.</w:t>
      </w:r>
    </w:p>
    <w:p>
      <w:pPr>
        <w:pStyle w:val="Heading2"/>
      </w:pPr>
      <w:r>
        <w:rPr>
          <w:rFonts w:ascii="Calibri" w:hAnsi="Calibri"/>
          <w:color w:val="0B3D91"/>
        </w:rPr>
        <w:t>1.2 Project Goals</w:t>
      </w:r>
    </w:p>
    <w:p>
      <w:pPr>
        <w:pStyle w:val="ListBullet"/>
      </w:pPr>
      <w:r>
        <w:t>Deliver a fully functional 3-tier web application (Frontend / Backend / Database) within 14 weeks.</w:t>
      </w:r>
    </w:p>
    <w:p>
      <w:pPr>
        <w:pStyle w:val="ListBullet"/>
      </w:pPr>
      <w:r>
        <w:t>Achieve ≥ 95 % Automated Test coverage on the enrolment, grading and certification modules.</w:t>
      </w:r>
    </w:p>
    <w:p>
      <w:pPr>
        <w:pStyle w:val="ListBullet"/>
      </w:pPr>
      <w:r>
        <w:t>Reduce manual administrative time per student intake by at least 70 %.</w:t>
      </w:r>
    </w:p>
    <w:p>
      <w:pPr>
        <w:pStyle w:val="ListBullet"/>
      </w:pPr>
      <w:r>
        <w:t>Issue verifiable digital certificates with a unique serial number and QR-based public lookup.</w:t>
      </w:r>
    </w:p>
    <w:p>
      <w:pPr>
        <w:pStyle w:val="ListBullet"/>
      </w:pPr>
      <w:r>
        <w:t>Train MJSCYBER staff to independently manage the system post-handover.</w:t>
      </w:r>
    </w:p>
    <w:p>
      <w:pPr>
        <w:pStyle w:val="Heading2"/>
      </w:pPr>
      <w:r>
        <w:rPr>
          <w:rFonts w:ascii="Calibri" w:hAnsi="Calibri"/>
          <w:color w:val="0B3D91"/>
        </w:rPr>
        <w:t>1.3 Budget Summary</w:t>
      </w:r>
    </w:p>
    <w:p>
      <w:r>
        <w:rPr>
          <w:b w:val="0"/>
          <w:i w:val="0"/>
          <w:color w:val="222222"/>
          <w:sz w:val="22"/>
        </w:rPr>
        <w:t>The total estimated project budget is ZAR 84 500, covering development labour, hosting, software licences, hardware allowances and contingency. A full cost breakdown is presented in Section 7 – Economic Feasibility.</w:t>
      </w:r>
    </w:p>
    <w:p>
      <w:pPr>
        <w:pStyle w:val="Heading2"/>
      </w:pPr>
      <w:r>
        <w:rPr>
          <w:rFonts w:ascii="Calibri" w:hAnsi="Calibri"/>
          <w:color w:val="0B3D91"/>
        </w:rPr>
        <w:t>1.4 Key Risks (Summary)</w:t>
      </w:r>
    </w:p>
    <w:p>
      <w:pPr>
        <w:pStyle w:val="ListBullet"/>
      </w:pPr>
      <w:r>
        <w:t>Load-shedding and rural connectivity in Bochum — mitigated by offline-capable design and cloud hosting.</w:t>
      </w:r>
    </w:p>
    <w:p>
      <w:pPr>
        <w:pStyle w:val="ListBullet"/>
      </w:pPr>
      <w:r>
        <w:t>Scope creep from stakeholder change requests — mitigated by a signed scope document and change-control log.</w:t>
      </w:r>
    </w:p>
    <w:p>
      <w:pPr>
        <w:pStyle w:val="ListBullet"/>
      </w:pPr>
      <w:r>
        <w:t>Data-security breach of student ID documents — mitigated by encryption at rest and role-based access control.</w:t>
      </w:r>
    </w:p>
    <w:p>
      <w:pPr>
        <w:pStyle w:val="ListBullet"/>
      </w:pPr>
      <w:r>
        <w:t>Key-person dependency (2-member team) — mitigated by cross-training and shared Git repository.</w:t>
      </w:r>
    </w:p>
    <w:p>
      <w:r>
        <w:rPr>
          <w:b w:val="0"/>
          <w:i/>
          <w:color w:val="222222"/>
          <w:sz w:val="22"/>
        </w:rPr>
        <w:t>A full risk register with probability, impact and mitigation is provided in Section 5.</w:t>
      </w:r>
    </w:p>
    <w:p>
      <w:pPr>
        <w:pStyle w:val="Heading2"/>
      </w:pPr>
      <w:r>
        <w:rPr>
          <w:rFonts w:ascii="Calibri" w:hAnsi="Calibri"/>
          <w:color w:val="0B3D91"/>
        </w:rPr>
        <w:t>1.5 Expected Benefits</w:t>
      </w:r>
    </w:p>
    <w:p>
      <w:pPr>
        <w:pStyle w:val="ListBullet"/>
      </w:pPr>
      <w:r>
        <w:t>Operational efficiency: instant enrolment and certificate generation replace a 3-day manual process.</w:t>
      </w:r>
    </w:p>
    <w:p>
      <w:pPr>
        <w:pStyle w:val="ListBullet"/>
      </w:pPr>
      <w:r>
        <w:t>Revenue growth: online visibility and a public certificate-verification page increase corporate-client trust.</w:t>
      </w:r>
    </w:p>
    <w:p>
      <w:pPr>
        <w:pStyle w:val="ListBullet"/>
      </w:pPr>
      <w:r>
        <w:t>Compliance: auditable digital records meet PSiRA (Private Security Industry Regulatory Authority) requirements.</w:t>
      </w:r>
    </w:p>
    <w:p>
      <w:pPr>
        <w:pStyle w:val="ListBullet"/>
      </w:pPr>
      <w:r>
        <w:t>Scalability: cloud-ready architecture allows MJSCYBER to expand to additional campuses without rebuild.</w:t>
      </w:r>
    </w:p>
    <w:p>
      <w:pPr>
        <w:pStyle w:val="ListBullet"/>
      </w:pPr>
      <w:r>
        <w:t>Return on Investment: full ROI is projected within 12 months based on reduced admin costs and increased intake capacity.</w:t>
      </w:r>
    </w:p>
    <w:p>
      <w:r>
        <w:br w:type="page"/>
      </w:r>
    </w:p>
    <w:p>
      <w:pPr>
        <w:pStyle w:val="Heading1"/>
      </w:pPr>
      <w:r>
        <w:rPr>
          <w:rFonts w:ascii="Calibri" w:hAnsi="Calibri"/>
          <w:color w:val="0B3D91"/>
        </w:rPr>
        <w:t>2. Milestones and Deliverables</w:t>
      </w:r>
    </w:p>
    <w:p>
      <w:r>
        <w:rPr>
          <w:b w:val="0"/>
          <w:i w:val="0"/>
          <w:color w:val="222222"/>
          <w:sz w:val="22"/>
        </w:rPr>
        <w:t>Five major milestones have been defined to structure delivery and provide clear go/no-go decision points. Each milestone is linked to a tangible deliverable and mapped directly to customer needs stated in Section 1.1.</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680"/>
            <w:shd w:val="clear" w:color="auto" w:fill="0B3D91"/>
            <w:vAlign w:val="center"/>
          </w:tcPr>
          <w:p>
            <w:r/>
            <w:r>
              <w:rPr>
                <w:b/>
                <w:color w:val="FFFFFF"/>
                <w:sz w:val="20"/>
              </w:rPr>
              <w:t>ID</w:t>
            </w:r>
          </w:p>
        </w:tc>
        <w:tc>
          <w:tcPr>
            <w:tcW w:type="dxa" w:w="1984"/>
            <w:shd w:val="clear" w:color="auto" w:fill="0B3D91"/>
            <w:vAlign w:val="center"/>
          </w:tcPr>
          <w:p>
            <w:r/>
            <w:r>
              <w:rPr>
                <w:b/>
                <w:color w:val="FFFFFF"/>
                <w:sz w:val="20"/>
              </w:rPr>
              <w:t>Milestone</w:t>
            </w:r>
          </w:p>
        </w:tc>
        <w:tc>
          <w:tcPr>
            <w:tcW w:type="dxa" w:w="1417"/>
            <w:shd w:val="clear" w:color="auto" w:fill="0B3D91"/>
            <w:vAlign w:val="center"/>
          </w:tcPr>
          <w:p>
            <w:r/>
            <w:r>
              <w:rPr>
                <w:b/>
                <w:color w:val="FFFFFF"/>
                <w:sz w:val="20"/>
              </w:rPr>
              <w:t>Target Date</w:t>
            </w:r>
          </w:p>
        </w:tc>
        <w:tc>
          <w:tcPr>
            <w:tcW w:type="dxa" w:w="3118"/>
            <w:shd w:val="clear" w:color="auto" w:fill="0B3D91"/>
            <w:vAlign w:val="center"/>
          </w:tcPr>
          <w:p>
            <w:r/>
            <w:r>
              <w:rPr>
                <w:b/>
                <w:color w:val="FFFFFF"/>
                <w:sz w:val="20"/>
              </w:rPr>
              <w:t>Deliverable</w:t>
            </w:r>
          </w:p>
        </w:tc>
        <w:tc>
          <w:tcPr>
            <w:tcW w:type="dxa" w:w="2438"/>
            <w:shd w:val="clear" w:color="auto" w:fill="0B3D91"/>
            <w:vAlign w:val="center"/>
          </w:tcPr>
          <w:p>
            <w:r/>
            <w:r>
              <w:rPr>
                <w:b/>
                <w:color w:val="FFFFFF"/>
                <w:sz w:val="20"/>
              </w:rPr>
              <w:t>Link to Customer Need</w:t>
            </w:r>
          </w:p>
        </w:tc>
      </w:tr>
      <w:tr>
        <w:tc>
          <w:tcPr>
            <w:tcW w:type="dxa" w:w="680"/>
            <w:vAlign w:val="center"/>
          </w:tcPr>
          <w:p>
            <w:r/>
            <w:r>
              <w:rPr>
                <w:sz w:val="19"/>
              </w:rPr>
              <w:t>M1</w:t>
            </w:r>
          </w:p>
        </w:tc>
        <w:tc>
          <w:tcPr>
            <w:tcW w:type="dxa" w:w="1984"/>
            <w:vAlign w:val="center"/>
          </w:tcPr>
          <w:p>
            <w:r/>
            <w:r>
              <w:rPr>
                <w:sz w:val="19"/>
              </w:rPr>
              <w:t>Scope Sign-off</w:t>
            </w:r>
          </w:p>
        </w:tc>
        <w:tc>
          <w:tcPr>
            <w:tcW w:type="dxa" w:w="1417"/>
            <w:vAlign w:val="center"/>
          </w:tcPr>
          <w:p>
            <w:r/>
            <w:r>
              <w:rPr>
                <w:sz w:val="19"/>
              </w:rPr>
              <w:t>15 May 2026</w:t>
            </w:r>
          </w:p>
        </w:tc>
        <w:tc>
          <w:tcPr>
            <w:tcW w:type="dxa" w:w="3118"/>
            <w:vAlign w:val="center"/>
          </w:tcPr>
          <w:p>
            <w:r/>
            <w:r>
              <w:rPr>
                <w:sz w:val="19"/>
              </w:rPr>
              <w:t>Approved Project Charter, Signed Scope Statement</w:t>
            </w:r>
          </w:p>
        </w:tc>
        <w:tc>
          <w:tcPr>
            <w:tcW w:type="dxa" w:w="2438"/>
            <w:vAlign w:val="center"/>
          </w:tcPr>
          <w:p>
            <w:r/>
            <w:r>
              <w:rPr>
                <w:sz w:val="19"/>
              </w:rPr>
              <w:t>Addresses customer need for clear deliverables</w:t>
            </w:r>
          </w:p>
        </w:tc>
      </w:tr>
      <w:tr>
        <w:tc>
          <w:tcPr>
            <w:tcW w:type="dxa" w:w="680"/>
            <w:vAlign w:val="center"/>
          </w:tcPr>
          <w:p>
            <w:r/>
            <w:r>
              <w:rPr>
                <w:sz w:val="19"/>
              </w:rPr>
              <w:t>M2</w:t>
            </w:r>
          </w:p>
        </w:tc>
        <w:tc>
          <w:tcPr>
            <w:tcW w:type="dxa" w:w="1984"/>
            <w:vAlign w:val="center"/>
          </w:tcPr>
          <w:p>
            <w:r/>
            <w:r>
              <w:rPr>
                <w:sz w:val="19"/>
              </w:rPr>
              <w:t>Design Freeze</w:t>
            </w:r>
          </w:p>
        </w:tc>
        <w:tc>
          <w:tcPr>
            <w:tcW w:type="dxa" w:w="1417"/>
            <w:vAlign w:val="center"/>
          </w:tcPr>
          <w:p>
            <w:r/>
            <w:r>
              <w:rPr>
                <w:sz w:val="19"/>
              </w:rPr>
              <w:t>25 May 2026</w:t>
            </w:r>
          </w:p>
        </w:tc>
        <w:tc>
          <w:tcPr>
            <w:tcW w:type="dxa" w:w="3118"/>
            <w:vAlign w:val="center"/>
          </w:tcPr>
          <w:p>
            <w:r/>
            <w:r>
              <w:rPr>
                <w:sz w:val="19"/>
              </w:rPr>
              <w:t>ERD, Wireframes, Technical Architecture Document</w:t>
            </w:r>
          </w:p>
        </w:tc>
        <w:tc>
          <w:tcPr>
            <w:tcW w:type="dxa" w:w="2438"/>
            <w:vAlign w:val="center"/>
          </w:tcPr>
          <w:p>
            <w:r/>
            <w:r>
              <w:rPr>
                <w:sz w:val="19"/>
              </w:rPr>
              <w:t>Ensures solution matches MJSCYBER workflows</w:t>
            </w:r>
          </w:p>
        </w:tc>
      </w:tr>
      <w:tr>
        <w:tc>
          <w:tcPr>
            <w:tcW w:type="dxa" w:w="680"/>
            <w:vAlign w:val="center"/>
          </w:tcPr>
          <w:p>
            <w:r/>
            <w:r>
              <w:rPr>
                <w:sz w:val="19"/>
              </w:rPr>
              <w:t>M3</w:t>
            </w:r>
          </w:p>
        </w:tc>
        <w:tc>
          <w:tcPr>
            <w:tcW w:type="dxa" w:w="1984"/>
            <w:vAlign w:val="center"/>
          </w:tcPr>
          <w:p>
            <w:r/>
            <w:r>
              <w:rPr>
                <w:sz w:val="19"/>
              </w:rPr>
              <w:t>Development Complete</w:t>
            </w:r>
          </w:p>
        </w:tc>
        <w:tc>
          <w:tcPr>
            <w:tcW w:type="dxa" w:w="1417"/>
            <w:vAlign w:val="center"/>
          </w:tcPr>
          <w:p>
            <w:r/>
            <w:r>
              <w:rPr>
                <w:sz w:val="19"/>
              </w:rPr>
              <w:t>10 July 2026</w:t>
            </w:r>
          </w:p>
        </w:tc>
        <w:tc>
          <w:tcPr>
            <w:tcW w:type="dxa" w:w="3118"/>
            <w:vAlign w:val="center"/>
          </w:tcPr>
          <w:p>
            <w:r/>
            <w:r>
              <w:rPr>
                <w:sz w:val="19"/>
              </w:rPr>
              <w:t>Working Web App (all modules), Source Code on Git</w:t>
            </w:r>
          </w:p>
        </w:tc>
        <w:tc>
          <w:tcPr>
            <w:tcW w:type="dxa" w:w="2438"/>
            <w:vAlign w:val="center"/>
          </w:tcPr>
          <w:p>
            <w:r/>
            <w:r>
              <w:rPr>
                <w:sz w:val="19"/>
              </w:rPr>
              <w:t>Delivers the full digital ecosystem</w:t>
            </w:r>
          </w:p>
        </w:tc>
      </w:tr>
      <w:tr>
        <w:tc>
          <w:tcPr>
            <w:tcW w:type="dxa" w:w="680"/>
            <w:vAlign w:val="center"/>
          </w:tcPr>
          <w:p>
            <w:r/>
            <w:r>
              <w:rPr>
                <w:sz w:val="19"/>
              </w:rPr>
              <w:t>M4</w:t>
            </w:r>
          </w:p>
        </w:tc>
        <w:tc>
          <w:tcPr>
            <w:tcW w:type="dxa" w:w="1984"/>
            <w:vAlign w:val="center"/>
          </w:tcPr>
          <w:p>
            <w:r/>
            <w:r>
              <w:rPr>
                <w:sz w:val="19"/>
              </w:rPr>
              <w:t>UAT Pass</w:t>
            </w:r>
          </w:p>
        </w:tc>
        <w:tc>
          <w:tcPr>
            <w:tcW w:type="dxa" w:w="1417"/>
            <w:vAlign w:val="center"/>
          </w:tcPr>
          <w:p>
            <w:r/>
            <w:r>
              <w:rPr>
                <w:sz w:val="19"/>
              </w:rPr>
              <w:t>24 July 2026</w:t>
            </w:r>
          </w:p>
        </w:tc>
        <w:tc>
          <w:tcPr>
            <w:tcW w:type="dxa" w:w="3118"/>
            <w:vAlign w:val="center"/>
          </w:tcPr>
          <w:p>
            <w:r/>
            <w:r>
              <w:rPr>
                <w:sz w:val="19"/>
              </w:rPr>
              <w:t>Signed UAT Report, Bug-fix log</w:t>
            </w:r>
          </w:p>
        </w:tc>
        <w:tc>
          <w:tcPr>
            <w:tcW w:type="dxa" w:w="2438"/>
            <w:vAlign w:val="center"/>
          </w:tcPr>
          <w:p>
            <w:r/>
            <w:r>
              <w:rPr>
                <w:sz w:val="19"/>
              </w:rPr>
              <w:t>Confirms fitness-for-purpose with client</w:t>
            </w:r>
          </w:p>
        </w:tc>
      </w:tr>
      <w:tr>
        <w:tc>
          <w:tcPr>
            <w:tcW w:type="dxa" w:w="680"/>
            <w:vAlign w:val="center"/>
          </w:tcPr>
          <w:p>
            <w:r/>
            <w:r>
              <w:rPr>
                <w:sz w:val="19"/>
              </w:rPr>
              <w:t>M5</w:t>
            </w:r>
          </w:p>
        </w:tc>
        <w:tc>
          <w:tcPr>
            <w:tcW w:type="dxa" w:w="1984"/>
            <w:vAlign w:val="center"/>
          </w:tcPr>
          <w:p>
            <w:r/>
            <w:r>
              <w:rPr>
                <w:sz w:val="19"/>
              </w:rPr>
              <w:t>Go-Live &amp; Handover</w:t>
            </w:r>
          </w:p>
        </w:tc>
        <w:tc>
          <w:tcPr>
            <w:tcW w:type="dxa" w:w="1417"/>
            <w:vAlign w:val="center"/>
          </w:tcPr>
          <w:p>
            <w:r/>
            <w:r>
              <w:rPr>
                <w:sz w:val="19"/>
              </w:rPr>
              <w:t>05 Aug 2026</w:t>
            </w:r>
          </w:p>
        </w:tc>
        <w:tc>
          <w:tcPr>
            <w:tcW w:type="dxa" w:w="3118"/>
            <w:vAlign w:val="center"/>
          </w:tcPr>
          <w:p>
            <w:r/>
            <w:r>
              <w:rPr>
                <w:sz w:val="19"/>
              </w:rPr>
              <w:t>Deployed system, Training Manual, Admin handover</w:t>
            </w:r>
          </w:p>
        </w:tc>
        <w:tc>
          <w:tcPr>
            <w:tcW w:type="dxa" w:w="2438"/>
            <w:vAlign w:val="center"/>
          </w:tcPr>
          <w:p>
            <w:r/>
            <w:r>
              <w:rPr>
                <w:sz w:val="19"/>
              </w:rPr>
              <w:t>Achieves digital transformation goal</w:t>
            </w:r>
          </w:p>
        </w:tc>
      </w:tr>
    </w:tbl>
    <w:p>
      <w:pPr>
        <w:jc w:val="center"/>
      </w:pPr>
      <w:r>
        <w:rPr>
          <w:i/>
          <w:color w:val="0B3D91"/>
          <w:sz w:val="19"/>
        </w:rPr>
        <w:t>Table 2.1 – Project Milestones and Deliverables</w:t>
      </w:r>
    </w:p>
    <w:p>
      <w:pPr>
        <w:pStyle w:val="Heading2"/>
      </w:pPr>
      <w:r>
        <w:rPr>
          <w:rFonts w:ascii="Calibri" w:hAnsi="Calibri"/>
          <w:color w:val="0B3D91"/>
        </w:rPr>
        <w:t>2.1 Deliverable Acceptance Criteria</w:t>
      </w:r>
    </w:p>
    <w:p>
      <w:pPr>
        <w:pStyle w:val="ListBullet"/>
      </w:pPr>
      <w:r>
        <w:t>Each deliverable must be reviewed and signed off by the MJSCYBER director (Mr. M. J. Sepuru) before the next phase starts.</w:t>
      </w:r>
    </w:p>
    <w:p>
      <w:pPr>
        <w:pStyle w:val="ListBullet"/>
      </w:pPr>
      <w:r>
        <w:t>Development deliverables must pass automated unit tests and a peer code review on GitHub.</w:t>
      </w:r>
    </w:p>
    <w:p>
      <w:pPr>
        <w:pStyle w:val="ListBullet"/>
      </w:pPr>
      <w:r>
        <w:t>Documentation deliverables must follow the approved MJSCYBER document template (corporate seal, footer, numbered sections).</w:t>
      </w:r>
    </w:p>
    <w:p>
      <w:r>
        <w:br w:type="page"/>
      </w:r>
    </w:p>
    <w:p>
      <w:pPr>
        <w:pStyle w:val="Heading1"/>
      </w:pPr>
      <w:r>
        <w:rPr>
          <w:rFonts w:ascii="Calibri" w:hAnsi="Calibri"/>
          <w:color w:val="0B3D91"/>
        </w:rPr>
        <w:t>3. Work Breakdown Structure (WBS)</w:t>
      </w:r>
    </w:p>
    <w:p>
      <w:pPr>
        <w:jc w:val="center"/>
      </w:pPr>
      <w:r>
        <w:drawing>
          <wp:inline xmlns:a="http://schemas.openxmlformats.org/drawingml/2006/main" xmlns:pic="http://schemas.openxmlformats.org/drawingml/2006/picture">
            <wp:extent cx="5400000" cy="3604500"/>
            <wp:docPr id="5" name="Picture 5"/>
            <wp:cNvGraphicFramePr>
              <a:graphicFrameLocks noChangeAspect="1"/>
            </wp:cNvGraphicFramePr>
            <a:graphic>
              <a:graphicData uri="http://schemas.openxmlformats.org/drawingml/2006/picture">
                <pic:pic>
                  <pic:nvPicPr>
                    <pic:cNvPr id="0" name="code_dev.jpg"/>
                    <pic:cNvPicPr/>
                  </pic:nvPicPr>
                  <pic:blipFill>
                    <a:blip r:embed="rId13"/>
                    <a:stretch>
                      <a:fillRect/>
                    </a:stretch>
                  </pic:blipFill>
                  <pic:spPr>
                    <a:xfrm>
                      <a:off x="0" y="0"/>
                      <a:ext cx="5400000" cy="3604500"/>
                    </a:xfrm>
                    <a:prstGeom prst="rect"/>
                  </pic:spPr>
                </pic:pic>
              </a:graphicData>
            </a:graphic>
          </wp:inline>
        </w:drawing>
      </w:r>
    </w:p>
    <w:p>
      <w:pPr>
        <w:jc w:val="center"/>
      </w:pPr>
      <w:r>
        <w:rPr>
          <w:i/>
          <w:color w:val="0B3D91"/>
          <w:sz w:val="19"/>
        </w:rPr>
        <w:t>Figure 3.1 – Iterative, phase-based development approach</w:t>
      </w:r>
    </w:p>
    <w:p>
      <w:r>
        <w:rPr>
          <w:b w:val="0"/>
          <w:i w:val="0"/>
          <w:color w:val="222222"/>
          <w:sz w:val="22"/>
        </w:rPr>
        <w:t>The Work Breakdown Structure decomposes the project into five phases and twenty discrete tasks. Every task lists its description, duration, predecessor, responsible team member and required resources — satisfying the top-band rubric requirement.</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67"/>
            <w:shd w:val="clear" w:color="auto" w:fill="0B3D91"/>
            <w:vAlign w:val="center"/>
          </w:tcPr>
          <w:p>
            <w:r/>
            <w:r>
              <w:rPr>
                <w:b/>
                <w:color w:val="FFFFFF"/>
                <w:sz w:val="20"/>
              </w:rPr>
              <w:t>ID</w:t>
            </w:r>
          </w:p>
        </w:tc>
        <w:tc>
          <w:tcPr>
            <w:tcW w:type="dxa" w:w="1814"/>
            <w:shd w:val="clear" w:color="auto" w:fill="0B3D91"/>
            <w:vAlign w:val="center"/>
          </w:tcPr>
          <w:p>
            <w:r/>
            <w:r>
              <w:rPr>
                <w:b/>
                <w:color w:val="FFFFFF"/>
                <w:sz w:val="20"/>
              </w:rPr>
              <w:t>Task</w:t>
            </w:r>
          </w:p>
        </w:tc>
        <w:tc>
          <w:tcPr>
            <w:tcW w:type="dxa" w:w="2835"/>
            <w:shd w:val="clear" w:color="auto" w:fill="0B3D91"/>
            <w:vAlign w:val="center"/>
          </w:tcPr>
          <w:p>
            <w:r/>
            <w:r>
              <w:rPr>
                <w:b/>
                <w:color w:val="FFFFFF"/>
                <w:sz w:val="20"/>
              </w:rPr>
              <w:t>Description</w:t>
            </w:r>
          </w:p>
        </w:tc>
        <w:tc>
          <w:tcPr>
            <w:tcW w:type="dxa" w:w="794"/>
            <w:shd w:val="clear" w:color="auto" w:fill="0B3D91"/>
            <w:vAlign w:val="center"/>
          </w:tcPr>
          <w:p>
            <w:r/>
            <w:r>
              <w:rPr>
                <w:b/>
                <w:color w:val="FFFFFF"/>
                <w:sz w:val="20"/>
              </w:rPr>
              <w:t>Duration</w:t>
            </w:r>
          </w:p>
        </w:tc>
        <w:tc>
          <w:tcPr>
            <w:tcW w:type="dxa" w:w="567"/>
            <w:shd w:val="clear" w:color="auto" w:fill="0B3D91"/>
            <w:vAlign w:val="center"/>
          </w:tcPr>
          <w:p>
            <w:r/>
            <w:r>
              <w:rPr>
                <w:b/>
                <w:color w:val="FFFFFF"/>
                <w:sz w:val="20"/>
              </w:rPr>
              <w:t>Pred.</w:t>
            </w:r>
          </w:p>
        </w:tc>
        <w:tc>
          <w:tcPr>
            <w:tcW w:type="dxa" w:w="1191"/>
            <w:shd w:val="clear" w:color="auto" w:fill="0B3D91"/>
            <w:vAlign w:val="center"/>
          </w:tcPr>
          <w:p>
            <w:r/>
            <w:r>
              <w:rPr>
                <w:b/>
                <w:color w:val="FFFFFF"/>
                <w:sz w:val="20"/>
              </w:rPr>
              <w:t>Responsible</w:t>
            </w:r>
          </w:p>
        </w:tc>
        <w:tc>
          <w:tcPr>
            <w:tcW w:type="dxa" w:w="1814"/>
            <w:shd w:val="clear" w:color="auto" w:fill="0B3D91"/>
            <w:vAlign w:val="center"/>
          </w:tcPr>
          <w:p>
            <w:r/>
            <w:r>
              <w:rPr>
                <w:b/>
                <w:color w:val="FFFFFF"/>
                <w:sz w:val="20"/>
              </w:rPr>
              <w:t>Resources</w:t>
            </w:r>
          </w:p>
        </w:tc>
      </w:tr>
      <w:tr>
        <w:tc>
          <w:tcPr>
            <w:tcW w:type="dxa" w:w="567"/>
            <w:vAlign w:val="center"/>
          </w:tcPr>
          <w:p>
            <w:r/>
            <w:r>
              <w:rPr>
                <w:sz w:val="19"/>
              </w:rPr>
              <w:t>1.1</w:t>
            </w:r>
          </w:p>
        </w:tc>
        <w:tc>
          <w:tcPr>
            <w:tcW w:type="dxa" w:w="1814"/>
            <w:vAlign w:val="center"/>
          </w:tcPr>
          <w:p>
            <w:r/>
            <w:r>
              <w:rPr>
                <w:sz w:val="19"/>
              </w:rPr>
              <w:t>Kick-off &amp; Stakeholder Meeting</w:t>
            </w:r>
          </w:p>
        </w:tc>
        <w:tc>
          <w:tcPr>
            <w:tcW w:type="dxa" w:w="2835"/>
            <w:vAlign w:val="center"/>
          </w:tcPr>
          <w:p>
            <w:r/>
            <w:r>
              <w:rPr>
                <w:sz w:val="19"/>
              </w:rPr>
              <w:t>Align on vision, goals, constraints with MJSCYBER director.</w:t>
            </w:r>
          </w:p>
        </w:tc>
        <w:tc>
          <w:tcPr>
            <w:tcW w:type="dxa" w:w="794"/>
            <w:vAlign w:val="center"/>
          </w:tcPr>
          <w:p>
            <w:r/>
            <w:r>
              <w:rPr>
                <w:sz w:val="19"/>
              </w:rPr>
              <w:t>3 d</w:t>
            </w:r>
          </w:p>
        </w:tc>
        <w:tc>
          <w:tcPr>
            <w:tcW w:type="dxa" w:w="567"/>
            <w:vAlign w:val="center"/>
          </w:tcPr>
          <w:p>
            <w:r/>
            <w:r>
              <w:rPr>
                <w:sz w:val="19"/>
              </w:rPr>
              <w:t>—</w:t>
            </w:r>
          </w:p>
        </w:tc>
        <w:tc>
          <w:tcPr>
            <w:tcW w:type="dxa" w:w="1191"/>
            <w:vAlign w:val="center"/>
          </w:tcPr>
          <w:p>
            <w:r/>
            <w:r>
              <w:rPr>
                <w:sz w:val="19"/>
              </w:rPr>
              <w:t>Both</w:t>
            </w:r>
          </w:p>
        </w:tc>
        <w:tc>
          <w:tcPr>
            <w:tcW w:type="dxa" w:w="1814"/>
            <w:vAlign w:val="center"/>
          </w:tcPr>
          <w:p>
            <w:r/>
            <w:r>
              <w:rPr>
                <w:sz w:val="19"/>
              </w:rPr>
              <w:t>Meeting room, MS Teams</w:t>
            </w:r>
          </w:p>
        </w:tc>
      </w:tr>
      <w:tr>
        <w:tc>
          <w:tcPr>
            <w:tcW w:type="dxa" w:w="567"/>
            <w:vAlign w:val="center"/>
          </w:tcPr>
          <w:p>
            <w:r/>
            <w:r>
              <w:rPr>
                <w:sz w:val="19"/>
              </w:rPr>
              <w:t>1.2</w:t>
            </w:r>
          </w:p>
        </w:tc>
        <w:tc>
          <w:tcPr>
            <w:tcW w:type="dxa" w:w="1814"/>
            <w:vAlign w:val="center"/>
          </w:tcPr>
          <w:p>
            <w:r/>
            <w:r>
              <w:rPr>
                <w:sz w:val="19"/>
              </w:rPr>
              <w:t>Requirements Gathering</w:t>
            </w:r>
          </w:p>
        </w:tc>
        <w:tc>
          <w:tcPr>
            <w:tcW w:type="dxa" w:w="2835"/>
            <w:vAlign w:val="center"/>
          </w:tcPr>
          <w:p>
            <w:r/>
            <w:r>
              <w:rPr>
                <w:sz w:val="19"/>
              </w:rPr>
              <w:t>Interview instructors, students, admin; document needs.</w:t>
            </w:r>
          </w:p>
        </w:tc>
        <w:tc>
          <w:tcPr>
            <w:tcW w:type="dxa" w:w="794"/>
            <w:vAlign w:val="center"/>
          </w:tcPr>
          <w:p>
            <w:r/>
            <w:r>
              <w:rPr>
                <w:sz w:val="19"/>
              </w:rPr>
              <w:t>5 d</w:t>
            </w:r>
          </w:p>
        </w:tc>
        <w:tc>
          <w:tcPr>
            <w:tcW w:type="dxa" w:w="567"/>
            <w:vAlign w:val="center"/>
          </w:tcPr>
          <w:p>
            <w:r/>
            <w:r>
              <w:rPr>
                <w:sz w:val="19"/>
              </w:rPr>
              <w:t>1.1</w:t>
            </w:r>
          </w:p>
        </w:tc>
        <w:tc>
          <w:tcPr>
            <w:tcW w:type="dxa" w:w="1191"/>
            <w:vAlign w:val="center"/>
          </w:tcPr>
          <w:p>
            <w:r/>
            <w:r>
              <w:rPr>
                <w:sz w:val="19"/>
              </w:rPr>
              <w:t>Khumela</w:t>
            </w:r>
          </w:p>
        </w:tc>
        <w:tc>
          <w:tcPr>
            <w:tcW w:type="dxa" w:w="1814"/>
            <w:vAlign w:val="center"/>
          </w:tcPr>
          <w:p>
            <w:r/>
            <w:r>
              <w:rPr>
                <w:sz w:val="19"/>
              </w:rPr>
              <w:t>Notepad, recorder, questionnaire</w:t>
            </w:r>
          </w:p>
        </w:tc>
      </w:tr>
      <w:tr>
        <w:tc>
          <w:tcPr>
            <w:tcW w:type="dxa" w:w="567"/>
            <w:vAlign w:val="center"/>
          </w:tcPr>
          <w:p>
            <w:r/>
            <w:r>
              <w:rPr>
                <w:sz w:val="19"/>
              </w:rPr>
              <w:t>1.3</w:t>
            </w:r>
          </w:p>
        </w:tc>
        <w:tc>
          <w:tcPr>
            <w:tcW w:type="dxa" w:w="1814"/>
            <w:vAlign w:val="center"/>
          </w:tcPr>
          <w:p>
            <w:r/>
            <w:r>
              <w:rPr>
                <w:sz w:val="19"/>
              </w:rPr>
              <w:t>Scope Sign-off &amp; Charter</w:t>
            </w:r>
          </w:p>
        </w:tc>
        <w:tc>
          <w:tcPr>
            <w:tcW w:type="dxa" w:w="2835"/>
            <w:vAlign w:val="center"/>
          </w:tcPr>
          <w:p>
            <w:r/>
            <w:r>
              <w:rPr>
                <w:sz w:val="19"/>
              </w:rPr>
              <w:t>Draft and obtain signature on project charter &amp; scope.</w:t>
            </w:r>
          </w:p>
        </w:tc>
        <w:tc>
          <w:tcPr>
            <w:tcW w:type="dxa" w:w="794"/>
            <w:vAlign w:val="center"/>
          </w:tcPr>
          <w:p>
            <w:r/>
            <w:r>
              <w:rPr>
                <w:sz w:val="19"/>
              </w:rPr>
              <w:t>2 d</w:t>
            </w:r>
          </w:p>
        </w:tc>
        <w:tc>
          <w:tcPr>
            <w:tcW w:type="dxa" w:w="567"/>
            <w:vAlign w:val="center"/>
          </w:tcPr>
          <w:p>
            <w:r/>
            <w:r>
              <w:rPr>
                <w:sz w:val="19"/>
              </w:rPr>
              <w:t>1.2</w:t>
            </w:r>
          </w:p>
        </w:tc>
        <w:tc>
          <w:tcPr>
            <w:tcW w:type="dxa" w:w="1191"/>
            <w:vAlign w:val="center"/>
          </w:tcPr>
          <w:p>
            <w:r/>
            <w:r>
              <w:rPr>
                <w:sz w:val="19"/>
              </w:rPr>
              <w:t>Jones</w:t>
            </w:r>
          </w:p>
        </w:tc>
        <w:tc>
          <w:tcPr>
            <w:tcW w:type="dxa" w:w="1814"/>
            <w:vAlign w:val="center"/>
          </w:tcPr>
          <w:p>
            <w:r/>
            <w:r>
              <w:rPr>
                <w:sz w:val="19"/>
              </w:rPr>
              <w:t>MS Word, e-signature</w:t>
            </w:r>
          </w:p>
        </w:tc>
      </w:tr>
      <w:tr>
        <w:tc>
          <w:tcPr>
            <w:tcW w:type="dxa" w:w="567"/>
            <w:vAlign w:val="center"/>
          </w:tcPr>
          <w:p>
            <w:r/>
            <w:r>
              <w:rPr>
                <w:sz w:val="19"/>
              </w:rPr>
              <w:t>2.1</w:t>
            </w:r>
          </w:p>
        </w:tc>
        <w:tc>
          <w:tcPr>
            <w:tcW w:type="dxa" w:w="1814"/>
            <w:vAlign w:val="center"/>
          </w:tcPr>
          <w:p>
            <w:r/>
            <w:r>
              <w:rPr>
                <w:sz w:val="19"/>
              </w:rPr>
              <w:t>Use-Case &amp; Process Mapping</w:t>
            </w:r>
          </w:p>
        </w:tc>
        <w:tc>
          <w:tcPr>
            <w:tcW w:type="dxa" w:w="2835"/>
            <w:vAlign w:val="center"/>
          </w:tcPr>
          <w:p>
            <w:r/>
            <w:r>
              <w:rPr>
                <w:sz w:val="19"/>
              </w:rPr>
              <w:t>Model each business workflow using UML use-case diagrams.</w:t>
            </w:r>
          </w:p>
        </w:tc>
        <w:tc>
          <w:tcPr>
            <w:tcW w:type="dxa" w:w="794"/>
            <w:vAlign w:val="center"/>
          </w:tcPr>
          <w:p>
            <w:r/>
            <w:r>
              <w:rPr>
                <w:sz w:val="19"/>
              </w:rPr>
              <w:t>4 d</w:t>
            </w:r>
          </w:p>
        </w:tc>
        <w:tc>
          <w:tcPr>
            <w:tcW w:type="dxa" w:w="567"/>
            <w:vAlign w:val="center"/>
          </w:tcPr>
          <w:p>
            <w:r/>
            <w:r>
              <w:rPr>
                <w:sz w:val="19"/>
              </w:rPr>
              <w:t>1.3</w:t>
            </w:r>
          </w:p>
        </w:tc>
        <w:tc>
          <w:tcPr>
            <w:tcW w:type="dxa" w:w="1191"/>
            <w:vAlign w:val="center"/>
          </w:tcPr>
          <w:p>
            <w:r/>
            <w:r>
              <w:rPr>
                <w:sz w:val="19"/>
              </w:rPr>
              <w:t>Khumela</w:t>
            </w:r>
          </w:p>
        </w:tc>
        <w:tc>
          <w:tcPr>
            <w:tcW w:type="dxa" w:w="1814"/>
            <w:vAlign w:val="center"/>
          </w:tcPr>
          <w:p>
            <w:r/>
            <w:r>
              <w:rPr>
                <w:sz w:val="19"/>
              </w:rPr>
              <w:t>draw.io / Lucidchart</w:t>
            </w:r>
          </w:p>
        </w:tc>
      </w:tr>
      <w:tr>
        <w:tc>
          <w:tcPr>
            <w:tcW w:type="dxa" w:w="567"/>
            <w:vAlign w:val="center"/>
          </w:tcPr>
          <w:p>
            <w:r/>
            <w:r>
              <w:rPr>
                <w:sz w:val="19"/>
              </w:rPr>
              <w:t>2.2</w:t>
            </w:r>
          </w:p>
        </w:tc>
        <w:tc>
          <w:tcPr>
            <w:tcW w:type="dxa" w:w="1814"/>
            <w:vAlign w:val="center"/>
          </w:tcPr>
          <w:p>
            <w:r/>
            <w:r>
              <w:rPr>
                <w:sz w:val="19"/>
              </w:rPr>
              <w:t>Database Schema Design (ERD)</w:t>
            </w:r>
          </w:p>
        </w:tc>
        <w:tc>
          <w:tcPr>
            <w:tcW w:type="dxa" w:w="2835"/>
            <w:vAlign w:val="center"/>
          </w:tcPr>
          <w:p>
            <w:r/>
            <w:r>
              <w:rPr>
                <w:sz w:val="19"/>
              </w:rPr>
              <w:t>Design normalised MySQL schema, primary/foreign keys.</w:t>
            </w:r>
          </w:p>
        </w:tc>
        <w:tc>
          <w:tcPr>
            <w:tcW w:type="dxa" w:w="794"/>
            <w:vAlign w:val="center"/>
          </w:tcPr>
          <w:p>
            <w:r/>
            <w:r>
              <w:rPr>
                <w:sz w:val="19"/>
              </w:rPr>
              <w:t>5 d</w:t>
            </w:r>
          </w:p>
        </w:tc>
        <w:tc>
          <w:tcPr>
            <w:tcW w:type="dxa" w:w="567"/>
            <w:vAlign w:val="center"/>
          </w:tcPr>
          <w:p>
            <w:r/>
            <w:r>
              <w:rPr>
                <w:sz w:val="19"/>
              </w:rPr>
              <w:t>1.3</w:t>
            </w:r>
          </w:p>
        </w:tc>
        <w:tc>
          <w:tcPr>
            <w:tcW w:type="dxa" w:w="1191"/>
            <w:vAlign w:val="center"/>
          </w:tcPr>
          <w:p>
            <w:r/>
            <w:r>
              <w:rPr>
                <w:sz w:val="19"/>
              </w:rPr>
              <w:t>Jones</w:t>
            </w:r>
          </w:p>
        </w:tc>
        <w:tc>
          <w:tcPr>
            <w:tcW w:type="dxa" w:w="1814"/>
            <w:vAlign w:val="center"/>
          </w:tcPr>
          <w:p>
            <w:r/>
            <w:r>
              <w:rPr>
                <w:sz w:val="19"/>
              </w:rPr>
              <w:t>MySQL Workbench</w:t>
            </w:r>
          </w:p>
        </w:tc>
      </w:tr>
      <w:tr>
        <w:tc>
          <w:tcPr>
            <w:tcW w:type="dxa" w:w="567"/>
            <w:vAlign w:val="center"/>
          </w:tcPr>
          <w:p>
            <w:r/>
            <w:r>
              <w:rPr>
                <w:sz w:val="19"/>
              </w:rPr>
              <w:t>2.3</w:t>
            </w:r>
          </w:p>
        </w:tc>
        <w:tc>
          <w:tcPr>
            <w:tcW w:type="dxa" w:w="1814"/>
            <w:vAlign w:val="center"/>
          </w:tcPr>
          <w:p>
            <w:r/>
            <w:r>
              <w:rPr>
                <w:sz w:val="19"/>
              </w:rPr>
              <w:t>UI / UX Wireframes</w:t>
            </w:r>
          </w:p>
        </w:tc>
        <w:tc>
          <w:tcPr>
            <w:tcW w:type="dxa" w:w="2835"/>
            <w:vAlign w:val="center"/>
          </w:tcPr>
          <w:p>
            <w:r/>
            <w:r>
              <w:rPr>
                <w:sz w:val="19"/>
              </w:rPr>
              <w:t>Produce low- and high-fidelity wireframes &amp; style guide.</w:t>
            </w:r>
          </w:p>
        </w:tc>
        <w:tc>
          <w:tcPr>
            <w:tcW w:type="dxa" w:w="794"/>
            <w:vAlign w:val="center"/>
          </w:tcPr>
          <w:p>
            <w:r/>
            <w:r>
              <w:rPr>
                <w:sz w:val="19"/>
              </w:rPr>
              <w:t>5 d</w:t>
            </w:r>
          </w:p>
        </w:tc>
        <w:tc>
          <w:tcPr>
            <w:tcW w:type="dxa" w:w="567"/>
            <w:vAlign w:val="center"/>
          </w:tcPr>
          <w:p>
            <w:r/>
            <w:r>
              <w:rPr>
                <w:sz w:val="19"/>
              </w:rPr>
              <w:t>2.1</w:t>
            </w:r>
          </w:p>
        </w:tc>
        <w:tc>
          <w:tcPr>
            <w:tcW w:type="dxa" w:w="1191"/>
            <w:vAlign w:val="center"/>
          </w:tcPr>
          <w:p>
            <w:r/>
            <w:r>
              <w:rPr>
                <w:sz w:val="19"/>
              </w:rPr>
              <w:t>Khumela</w:t>
            </w:r>
          </w:p>
        </w:tc>
        <w:tc>
          <w:tcPr>
            <w:tcW w:type="dxa" w:w="1814"/>
            <w:vAlign w:val="center"/>
          </w:tcPr>
          <w:p>
            <w:r/>
            <w:r>
              <w:rPr>
                <w:sz w:val="19"/>
              </w:rPr>
              <w:t>Figma</w:t>
            </w:r>
          </w:p>
        </w:tc>
      </w:tr>
      <w:tr>
        <w:tc>
          <w:tcPr>
            <w:tcW w:type="dxa" w:w="567"/>
            <w:vAlign w:val="center"/>
          </w:tcPr>
          <w:p>
            <w:r/>
            <w:r>
              <w:rPr>
                <w:sz w:val="19"/>
              </w:rPr>
              <w:t>2.4</w:t>
            </w:r>
          </w:p>
        </w:tc>
        <w:tc>
          <w:tcPr>
            <w:tcW w:type="dxa" w:w="1814"/>
            <w:vAlign w:val="center"/>
          </w:tcPr>
          <w:p>
            <w:r/>
            <w:r>
              <w:rPr>
                <w:sz w:val="19"/>
              </w:rPr>
              <w:t>Technical Architecture Doc</w:t>
            </w:r>
          </w:p>
        </w:tc>
        <w:tc>
          <w:tcPr>
            <w:tcW w:type="dxa" w:w="2835"/>
            <w:vAlign w:val="center"/>
          </w:tcPr>
          <w:p>
            <w:r/>
            <w:r>
              <w:rPr>
                <w:sz w:val="19"/>
              </w:rPr>
              <w:t>Document 3-tier architecture, tech stack, security model.</w:t>
            </w:r>
          </w:p>
        </w:tc>
        <w:tc>
          <w:tcPr>
            <w:tcW w:type="dxa" w:w="794"/>
            <w:vAlign w:val="center"/>
          </w:tcPr>
          <w:p>
            <w:r/>
            <w:r>
              <w:rPr>
                <w:sz w:val="19"/>
              </w:rPr>
              <w:t>3 d</w:t>
            </w:r>
          </w:p>
        </w:tc>
        <w:tc>
          <w:tcPr>
            <w:tcW w:type="dxa" w:w="567"/>
            <w:vAlign w:val="center"/>
          </w:tcPr>
          <w:p>
            <w:r/>
            <w:r>
              <w:rPr>
                <w:sz w:val="19"/>
              </w:rPr>
              <w:t>2.2</w:t>
            </w:r>
          </w:p>
        </w:tc>
        <w:tc>
          <w:tcPr>
            <w:tcW w:type="dxa" w:w="1191"/>
            <w:vAlign w:val="center"/>
          </w:tcPr>
          <w:p>
            <w:r/>
            <w:r>
              <w:rPr>
                <w:sz w:val="19"/>
              </w:rPr>
              <w:t>Jones</w:t>
            </w:r>
          </w:p>
        </w:tc>
        <w:tc>
          <w:tcPr>
            <w:tcW w:type="dxa" w:w="1814"/>
            <w:vAlign w:val="center"/>
          </w:tcPr>
          <w:p>
            <w:r/>
            <w:r>
              <w:rPr>
                <w:sz w:val="19"/>
              </w:rPr>
              <w:t>MS Word</w:t>
            </w:r>
          </w:p>
        </w:tc>
      </w:tr>
      <w:tr>
        <w:tc>
          <w:tcPr>
            <w:tcW w:type="dxa" w:w="567"/>
            <w:vAlign w:val="center"/>
          </w:tcPr>
          <w:p>
            <w:r/>
            <w:r>
              <w:rPr>
                <w:sz w:val="19"/>
              </w:rPr>
              <w:t>3.1</w:t>
            </w:r>
          </w:p>
        </w:tc>
        <w:tc>
          <w:tcPr>
            <w:tcW w:type="dxa" w:w="1814"/>
            <w:vAlign w:val="center"/>
          </w:tcPr>
          <w:p>
            <w:r/>
            <w:r>
              <w:rPr>
                <w:sz w:val="19"/>
              </w:rPr>
              <w:t>Environment Setup &amp; Repo</w:t>
            </w:r>
          </w:p>
        </w:tc>
        <w:tc>
          <w:tcPr>
            <w:tcW w:type="dxa" w:w="2835"/>
            <w:vAlign w:val="center"/>
          </w:tcPr>
          <w:p>
            <w:r/>
            <w:r>
              <w:rPr>
                <w:sz w:val="19"/>
              </w:rPr>
              <w:t>Configure local XAMPP, Git repo, issue tracker.</w:t>
            </w:r>
          </w:p>
        </w:tc>
        <w:tc>
          <w:tcPr>
            <w:tcW w:type="dxa" w:w="794"/>
            <w:vAlign w:val="center"/>
          </w:tcPr>
          <w:p>
            <w:r/>
            <w:r>
              <w:rPr>
                <w:sz w:val="19"/>
              </w:rPr>
              <w:t>2 d</w:t>
            </w:r>
          </w:p>
        </w:tc>
        <w:tc>
          <w:tcPr>
            <w:tcW w:type="dxa" w:w="567"/>
            <w:vAlign w:val="center"/>
          </w:tcPr>
          <w:p>
            <w:r/>
            <w:r>
              <w:rPr>
                <w:sz w:val="19"/>
              </w:rPr>
              <w:t>2.4</w:t>
            </w:r>
          </w:p>
        </w:tc>
        <w:tc>
          <w:tcPr>
            <w:tcW w:type="dxa" w:w="1191"/>
            <w:vAlign w:val="center"/>
          </w:tcPr>
          <w:p>
            <w:r/>
            <w:r>
              <w:rPr>
                <w:sz w:val="19"/>
              </w:rPr>
              <w:t>Jones</w:t>
            </w:r>
          </w:p>
        </w:tc>
        <w:tc>
          <w:tcPr>
            <w:tcW w:type="dxa" w:w="1814"/>
            <w:vAlign w:val="center"/>
          </w:tcPr>
          <w:p>
            <w:r/>
            <w:r>
              <w:rPr>
                <w:sz w:val="19"/>
              </w:rPr>
              <w:t>XAMPP, GitHub, VS Code</w:t>
            </w:r>
          </w:p>
        </w:tc>
      </w:tr>
      <w:tr>
        <w:tc>
          <w:tcPr>
            <w:tcW w:type="dxa" w:w="567"/>
            <w:vAlign w:val="center"/>
          </w:tcPr>
          <w:p>
            <w:r/>
            <w:r>
              <w:rPr>
                <w:sz w:val="19"/>
              </w:rPr>
              <w:t>3.2</w:t>
            </w:r>
          </w:p>
        </w:tc>
        <w:tc>
          <w:tcPr>
            <w:tcW w:type="dxa" w:w="1814"/>
            <w:vAlign w:val="center"/>
          </w:tcPr>
          <w:p>
            <w:r/>
            <w:r>
              <w:rPr>
                <w:sz w:val="19"/>
              </w:rPr>
              <w:t>Authentication Module</w:t>
            </w:r>
          </w:p>
        </w:tc>
        <w:tc>
          <w:tcPr>
            <w:tcW w:type="dxa" w:w="2835"/>
            <w:vAlign w:val="center"/>
          </w:tcPr>
          <w:p>
            <w:r/>
            <w:r>
              <w:rPr>
                <w:sz w:val="19"/>
              </w:rPr>
              <w:t>Login, password hashing, session, role-based access.</w:t>
            </w:r>
          </w:p>
        </w:tc>
        <w:tc>
          <w:tcPr>
            <w:tcW w:type="dxa" w:w="794"/>
            <w:vAlign w:val="center"/>
          </w:tcPr>
          <w:p>
            <w:r/>
            <w:r>
              <w:rPr>
                <w:sz w:val="19"/>
              </w:rPr>
              <w:t>6 d</w:t>
            </w:r>
          </w:p>
        </w:tc>
        <w:tc>
          <w:tcPr>
            <w:tcW w:type="dxa" w:w="567"/>
            <w:vAlign w:val="center"/>
          </w:tcPr>
          <w:p>
            <w:r/>
            <w:r>
              <w:rPr>
                <w:sz w:val="19"/>
              </w:rPr>
              <w:t>3.1</w:t>
            </w:r>
          </w:p>
        </w:tc>
        <w:tc>
          <w:tcPr>
            <w:tcW w:type="dxa" w:w="1191"/>
            <w:vAlign w:val="center"/>
          </w:tcPr>
          <w:p>
            <w:r/>
            <w:r>
              <w:rPr>
                <w:sz w:val="19"/>
              </w:rPr>
              <w:t>Jones</w:t>
            </w:r>
          </w:p>
        </w:tc>
        <w:tc>
          <w:tcPr>
            <w:tcW w:type="dxa" w:w="1814"/>
            <w:vAlign w:val="center"/>
          </w:tcPr>
          <w:p>
            <w:r/>
            <w:r>
              <w:rPr>
                <w:sz w:val="19"/>
              </w:rPr>
              <w:t>PHP, MySQL, bcrypt</w:t>
            </w:r>
          </w:p>
        </w:tc>
      </w:tr>
      <w:tr>
        <w:tc>
          <w:tcPr>
            <w:tcW w:type="dxa" w:w="567"/>
            <w:vAlign w:val="center"/>
          </w:tcPr>
          <w:p>
            <w:r/>
            <w:r>
              <w:rPr>
                <w:sz w:val="19"/>
              </w:rPr>
              <w:t>3.3</w:t>
            </w:r>
          </w:p>
        </w:tc>
        <w:tc>
          <w:tcPr>
            <w:tcW w:type="dxa" w:w="1814"/>
            <w:vAlign w:val="center"/>
          </w:tcPr>
          <w:p>
            <w:r/>
            <w:r>
              <w:rPr>
                <w:sz w:val="19"/>
              </w:rPr>
              <w:t>Enrolment &amp; Document Upload</w:t>
            </w:r>
          </w:p>
        </w:tc>
        <w:tc>
          <w:tcPr>
            <w:tcW w:type="dxa" w:w="2835"/>
            <w:vAlign w:val="center"/>
          </w:tcPr>
          <w:p>
            <w:r/>
            <w:r>
              <w:rPr>
                <w:sz w:val="19"/>
              </w:rPr>
              <w:t>Student profile, ID/cert upload, payment confirmation.</w:t>
            </w:r>
          </w:p>
        </w:tc>
        <w:tc>
          <w:tcPr>
            <w:tcW w:type="dxa" w:w="794"/>
            <w:vAlign w:val="center"/>
          </w:tcPr>
          <w:p>
            <w:r/>
            <w:r>
              <w:rPr>
                <w:sz w:val="19"/>
              </w:rPr>
              <w:t>8 d</w:t>
            </w:r>
          </w:p>
        </w:tc>
        <w:tc>
          <w:tcPr>
            <w:tcW w:type="dxa" w:w="567"/>
            <w:vAlign w:val="center"/>
          </w:tcPr>
          <w:p>
            <w:r/>
            <w:r>
              <w:rPr>
                <w:sz w:val="19"/>
              </w:rPr>
              <w:t>3.2</w:t>
            </w:r>
          </w:p>
        </w:tc>
        <w:tc>
          <w:tcPr>
            <w:tcW w:type="dxa" w:w="1191"/>
            <w:vAlign w:val="center"/>
          </w:tcPr>
          <w:p>
            <w:r/>
            <w:r>
              <w:rPr>
                <w:sz w:val="19"/>
              </w:rPr>
              <w:t>Jones</w:t>
            </w:r>
          </w:p>
        </w:tc>
        <w:tc>
          <w:tcPr>
            <w:tcW w:type="dxa" w:w="1814"/>
            <w:vAlign w:val="center"/>
          </w:tcPr>
          <w:p>
            <w:r/>
            <w:r>
              <w:rPr>
                <w:sz w:val="19"/>
              </w:rPr>
              <w:t>PHP, MySQL, filesystem</w:t>
            </w:r>
          </w:p>
        </w:tc>
      </w:tr>
      <w:tr>
        <w:tc>
          <w:tcPr>
            <w:tcW w:type="dxa" w:w="567"/>
            <w:vAlign w:val="center"/>
          </w:tcPr>
          <w:p>
            <w:r/>
            <w:r>
              <w:rPr>
                <w:sz w:val="19"/>
              </w:rPr>
              <w:t>3.4</w:t>
            </w:r>
          </w:p>
        </w:tc>
        <w:tc>
          <w:tcPr>
            <w:tcW w:type="dxa" w:w="1814"/>
            <w:vAlign w:val="center"/>
          </w:tcPr>
          <w:p>
            <w:r/>
            <w:r>
              <w:rPr>
                <w:sz w:val="19"/>
              </w:rPr>
              <w:t>Grading &amp; Qualification Engine</w:t>
            </w:r>
          </w:p>
        </w:tc>
        <w:tc>
          <w:tcPr>
            <w:tcW w:type="dxa" w:w="2835"/>
            <w:vAlign w:val="center"/>
          </w:tcPr>
          <w:p>
            <w:r/>
            <w:r>
              <w:rPr>
                <w:sz w:val="19"/>
              </w:rPr>
              <w:t>Capture marks, auto-audit pass criteria, fee check.</w:t>
            </w:r>
          </w:p>
        </w:tc>
        <w:tc>
          <w:tcPr>
            <w:tcW w:type="dxa" w:w="794"/>
            <w:vAlign w:val="center"/>
          </w:tcPr>
          <w:p>
            <w:r/>
            <w:r>
              <w:rPr>
                <w:sz w:val="19"/>
              </w:rPr>
              <w:t>7 d</w:t>
            </w:r>
          </w:p>
        </w:tc>
        <w:tc>
          <w:tcPr>
            <w:tcW w:type="dxa" w:w="567"/>
            <w:vAlign w:val="center"/>
          </w:tcPr>
          <w:p>
            <w:r/>
            <w:r>
              <w:rPr>
                <w:sz w:val="19"/>
              </w:rPr>
              <w:t>3.3</w:t>
            </w:r>
          </w:p>
        </w:tc>
        <w:tc>
          <w:tcPr>
            <w:tcW w:type="dxa" w:w="1191"/>
            <w:vAlign w:val="center"/>
          </w:tcPr>
          <w:p>
            <w:r/>
            <w:r>
              <w:rPr>
                <w:sz w:val="19"/>
              </w:rPr>
              <w:t>Jones</w:t>
            </w:r>
          </w:p>
        </w:tc>
        <w:tc>
          <w:tcPr>
            <w:tcW w:type="dxa" w:w="1814"/>
            <w:vAlign w:val="center"/>
          </w:tcPr>
          <w:p>
            <w:r/>
            <w:r>
              <w:rPr>
                <w:sz w:val="19"/>
              </w:rPr>
              <w:t>PHP, MySQL</w:t>
            </w:r>
          </w:p>
        </w:tc>
      </w:tr>
      <w:tr>
        <w:tc>
          <w:tcPr>
            <w:tcW w:type="dxa" w:w="567"/>
            <w:vAlign w:val="center"/>
          </w:tcPr>
          <w:p>
            <w:r/>
            <w:r>
              <w:rPr>
                <w:sz w:val="19"/>
              </w:rPr>
              <w:t>3.5</w:t>
            </w:r>
          </w:p>
        </w:tc>
        <w:tc>
          <w:tcPr>
            <w:tcW w:type="dxa" w:w="1814"/>
            <w:vAlign w:val="center"/>
          </w:tcPr>
          <w:p>
            <w:r/>
            <w:r>
              <w:rPr>
                <w:sz w:val="19"/>
              </w:rPr>
              <w:t>Certificate Issue &amp; Verify Page</w:t>
            </w:r>
          </w:p>
        </w:tc>
        <w:tc>
          <w:tcPr>
            <w:tcW w:type="dxa" w:w="2835"/>
            <w:vAlign w:val="center"/>
          </w:tcPr>
          <w:p>
            <w:r/>
            <w:r>
              <w:rPr>
                <w:sz w:val="19"/>
              </w:rPr>
              <w:t>Generate PDF cert with serial + QR; public verify URL.</w:t>
            </w:r>
          </w:p>
        </w:tc>
        <w:tc>
          <w:tcPr>
            <w:tcW w:type="dxa" w:w="794"/>
            <w:vAlign w:val="center"/>
          </w:tcPr>
          <w:p>
            <w:r/>
            <w:r>
              <w:rPr>
                <w:sz w:val="19"/>
              </w:rPr>
              <w:t>6 d</w:t>
            </w:r>
          </w:p>
        </w:tc>
        <w:tc>
          <w:tcPr>
            <w:tcW w:type="dxa" w:w="567"/>
            <w:vAlign w:val="center"/>
          </w:tcPr>
          <w:p>
            <w:r/>
            <w:r>
              <w:rPr>
                <w:sz w:val="19"/>
              </w:rPr>
              <w:t>3.4</w:t>
            </w:r>
          </w:p>
        </w:tc>
        <w:tc>
          <w:tcPr>
            <w:tcW w:type="dxa" w:w="1191"/>
            <w:vAlign w:val="center"/>
          </w:tcPr>
          <w:p>
            <w:r/>
            <w:r>
              <w:rPr>
                <w:sz w:val="19"/>
              </w:rPr>
              <w:t>Khumela</w:t>
            </w:r>
          </w:p>
        </w:tc>
        <w:tc>
          <w:tcPr>
            <w:tcW w:type="dxa" w:w="1814"/>
            <w:vAlign w:val="center"/>
          </w:tcPr>
          <w:p>
            <w:r/>
            <w:r>
              <w:rPr>
                <w:sz w:val="19"/>
              </w:rPr>
              <w:t>TCPDF library, QR library</w:t>
            </w:r>
          </w:p>
        </w:tc>
      </w:tr>
      <w:tr>
        <w:tc>
          <w:tcPr>
            <w:tcW w:type="dxa" w:w="567"/>
            <w:vAlign w:val="center"/>
          </w:tcPr>
          <w:p>
            <w:r/>
            <w:r>
              <w:rPr>
                <w:sz w:val="19"/>
              </w:rPr>
              <w:t>3.6</w:t>
            </w:r>
          </w:p>
        </w:tc>
        <w:tc>
          <w:tcPr>
            <w:tcW w:type="dxa" w:w="1814"/>
            <w:vAlign w:val="center"/>
          </w:tcPr>
          <w:p>
            <w:r/>
            <w:r>
              <w:rPr>
                <w:sz w:val="19"/>
              </w:rPr>
              <w:t>VIP &amp; Site-Security Scheduling</w:t>
            </w:r>
          </w:p>
        </w:tc>
        <w:tc>
          <w:tcPr>
            <w:tcW w:type="dxa" w:w="2835"/>
            <w:vAlign w:val="center"/>
          </w:tcPr>
          <w:p>
            <w:r/>
            <w:r>
              <w:rPr>
                <w:sz w:val="19"/>
              </w:rPr>
              <w:t>Client requests, guard availability, GPS-tagged shifts.</w:t>
            </w:r>
          </w:p>
        </w:tc>
        <w:tc>
          <w:tcPr>
            <w:tcW w:type="dxa" w:w="794"/>
            <w:vAlign w:val="center"/>
          </w:tcPr>
          <w:p>
            <w:r/>
            <w:r>
              <w:rPr>
                <w:sz w:val="19"/>
              </w:rPr>
              <w:t>7 d</w:t>
            </w:r>
          </w:p>
        </w:tc>
        <w:tc>
          <w:tcPr>
            <w:tcW w:type="dxa" w:w="567"/>
            <w:vAlign w:val="center"/>
          </w:tcPr>
          <w:p>
            <w:r/>
            <w:r>
              <w:rPr>
                <w:sz w:val="19"/>
              </w:rPr>
              <w:t>3.3</w:t>
            </w:r>
          </w:p>
        </w:tc>
        <w:tc>
          <w:tcPr>
            <w:tcW w:type="dxa" w:w="1191"/>
            <w:vAlign w:val="center"/>
          </w:tcPr>
          <w:p>
            <w:r/>
            <w:r>
              <w:rPr>
                <w:sz w:val="19"/>
              </w:rPr>
              <w:t>Khumela</w:t>
            </w:r>
          </w:p>
        </w:tc>
        <w:tc>
          <w:tcPr>
            <w:tcW w:type="dxa" w:w="1814"/>
            <w:vAlign w:val="center"/>
          </w:tcPr>
          <w:p>
            <w:r/>
            <w:r>
              <w:rPr>
                <w:sz w:val="19"/>
              </w:rPr>
              <w:t>PHP, MySQL, JS calendar</w:t>
            </w:r>
          </w:p>
        </w:tc>
      </w:tr>
      <w:tr>
        <w:tc>
          <w:tcPr>
            <w:tcW w:type="dxa" w:w="567"/>
            <w:vAlign w:val="center"/>
          </w:tcPr>
          <w:p>
            <w:r/>
            <w:r>
              <w:rPr>
                <w:sz w:val="19"/>
              </w:rPr>
              <w:t>3.7</w:t>
            </w:r>
          </w:p>
        </w:tc>
        <w:tc>
          <w:tcPr>
            <w:tcW w:type="dxa" w:w="1814"/>
            <w:vAlign w:val="center"/>
          </w:tcPr>
          <w:p>
            <w:r/>
            <w:r>
              <w:rPr>
                <w:sz w:val="19"/>
              </w:rPr>
              <w:t>Admin Dashboard &amp; Reporting</w:t>
            </w:r>
          </w:p>
        </w:tc>
        <w:tc>
          <w:tcPr>
            <w:tcW w:type="dxa" w:w="2835"/>
            <w:vAlign w:val="center"/>
          </w:tcPr>
          <w:p>
            <w:r/>
            <w:r>
              <w:rPr>
                <w:sz w:val="19"/>
              </w:rPr>
              <w:t>KPIs, enrolment, revenue, compliance, PDF export.</w:t>
            </w:r>
          </w:p>
        </w:tc>
        <w:tc>
          <w:tcPr>
            <w:tcW w:type="dxa" w:w="794"/>
            <w:vAlign w:val="center"/>
          </w:tcPr>
          <w:p>
            <w:r/>
            <w:r>
              <w:rPr>
                <w:sz w:val="19"/>
              </w:rPr>
              <w:t>5 d</w:t>
            </w:r>
          </w:p>
        </w:tc>
        <w:tc>
          <w:tcPr>
            <w:tcW w:type="dxa" w:w="567"/>
            <w:vAlign w:val="center"/>
          </w:tcPr>
          <w:p>
            <w:r/>
            <w:r>
              <w:rPr>
                <w:sz w:val="19"/>
              </w:rPr>
              <w:t>3.4</w:t>
            </w:r>
          </w:p>
        </w:tc>
        <w:tc>
          <w:tcPr>
            <w:tcW w:type="dxa" w:w="1191"/>
            <w:vAlign w:val="center"/>
          </w:tcPr>
          <w:p>
            <w:r/>
            <w:r>
              <w:rPr>
                <w:sz w:val="19"/>
              </w:rPr>
              <w:t>Khumela</w:t>
            </w:r>
          </w:p>
        </w:tc>
        <w:tc>
          <w:tcPr>
            <w:tcW w:type="dxa" w:w="1814"/>
            <w:vAlign w:val="center"/>
          </w:tcPr>
          <w:p>
            <w:r/>
            <w:r>
              <w:rPr>
                <w:sz w:val="19"/>
              </w:rPr>
              <w:t>Chart.js, PHP</w:t>
            </w:r>
          </w:p>
        </w:tc>
      </w:tr>
      <w:tr>
        <w:tc>
          <w:tcPr>
            <w:tcW w:type="dxa" w:w="567"/>
            <w:vAlign w:val="center"/>
          </w:tcPr>
          <w:p>
            <w:r/>
            <w:r>
              <w:rPr>
                <w:sz w:val="19"/>
              </w:rPr>
              <w:t>4.1</w:t>
            </w:r>
          </w:p>
        </w:tc>
        <w:tc>
          <w:tcPr>
            <w:tcW w:type="dxa" w:w="1814"/>
            <w:vAlign w:val="center"/>
          </w:tcPr>
          <w:p>
            <w:r/>
            <w:r>
              <w:rPr>
                <w:sz w:val="19"/>
              </w:rPr>
              <w:t>Unit &amp; Integration Testing</w:t>
            </w:r>
          </w:p>
        </w:tc>
        <w:tc>
          <w:tcPr>
            <w:tcW w:type="dxa" w:w="2835"/>
            <w:vAlign w:val="center"/>
          </w:tcPr>
          <w:p>
            <w:r/>
            <w:r>
              <w:rPr>
                <w:sz w:val="19"/>
              </w:rPr>
              <w:t>Write &amp; execute PHPUnit tests on all modules.</w:t>
            </w:r>
          </w:p>
        </w:tc>
        <w:tc>
          <w:tcPr>
            <w:tcW w:type="dxa" w:w="794"/>
            <w:vAlign w:val="center"/>
          </w:tcPr>
          <w:p>
            <w:r/>
            <w:r>
              <w:rPr>
                <w:sz w:val="19"/>
              </w:rPr>
              <w:t>5 d</w:t>
            </w:r>
          </w:p>
        </w:tc>
        <w:tc>
          <w:tcPr>
            <w:tcW w:type="dxa" w:w="567"/>
            <w:vAlign w:val="center"/>
          </w:tcPr>
          <w:p>
            <w:r/>
            <w:r>
              <w:rPr>
                <w:sz w:val="19"/>
              </w:rPr>
              <w:t>3.7</w:t>
            </w:r>
          </w:p>
        </w:tc>
        <w:tc>
          <w:tcPr>
            <w:tcW w:type="dxa" w:w="1191"/>
            <w:vAlign w:val="center"/>
          </w:tcPr>
          <w:p>
            <w:r/>
            <w:r>
              <w:rPr>
                <w:sz w:val="19"/>
              </w:rPr>
              <w:t>Jones</w:t>
            </w:r>
          </w:p>
        </w:tc>
        <w:tc>
          <w:tcPr>
            <w:tcW w:type="dxa" w:w="1814"/>
            <w:vAlign w:val="center"/>
          </w:tcPr>
          <w:p>
            <w:r/>
            <w:r>
              <w:rPr>
                <w:sz w:val="19"/>
              </w:rPr>
              <w:t>PHPUnit, Postman</w:t>
            </w:r>
          </w:p>
        </w:tc>
      </w:tr>
      <w:tr>
        <w:tc>
          <w:tcPr>
            <w:tcW w:type="dxa" w:w="567"/>
            <w:vAlign w:val="center"/>
          </w:tcPr>
          <w:p>
            <w:r/>
            <w:r>
              <w:rPr>
                <w:sz w:val="19"/>
              </w:rPr>
              <w:t>4.2</w:t>
            </w:r>
          </w:p>
        </w:tc>
        <w:tc>
          <w:tcPr>
            <w:tcW w:type="dxa" w:w="1814"/>
            <w:vAlign w:val="center"/>
          </w:tcPr>
          <w:p>
            <w:r/>
            <w:r>
              <w:rPr>
                <w:sz w:val="19"/>
              </w:rPr>
              <w:t>User Acceptance Testing</w:t>
            </w:r>
          </w:p>
        </w:tc>
        <w:tc>
          <w:tcPr>
            <w:tcW w:type="dxa" w:w="2835"/>
            <w:vAlign w:val="center"/>
          </w:tcPr>
          <w:p>
            <w:r/>
            <w:r>
              <w:rPr>
                <w:sz w:val="19"/>
              </w:rPr>
              <w:t>Guided UAT with MJSCYBER staff; log defects.</w:t>
            </w:r>
          </w:p>
        </w:tc>
        <w:tc>
          <w:tcPr>
            <w:tcW w:type="dxa" w:w="794"/>
            <w:vAlign w:val="center"/>
          </w:tcPr>
          <w:p>
            <w:r/>
            <w:r>
              <w:rPr>
                <w:sz w:val="19"/>
              </w:rPr>
              <w:t>4 d</w:t>
            </w:r>
          </w:p>
        </w:tc>
        <w:tc>
          <w:tcPr>
            <w:tcW w:type="dxa" w:w="567"/>
            <w:vAlign w:val="center"/>
          </w:tcPr>
          <w:p>
            <w:r/>
            <w:r>
              <w:rPr>
                <w:sz w:val="19"/>
              </w:rPr>
              <w:t>4.1</w:t>
            </w:r>
          </w:p>
        </w:tc>
        <w:tc>
          <w:tcPr>
            <w:tcW w:type="dxa" w:w="1191"/>
            <w:vAlign w:val="center"/>
          </w:tcPr>
          <w:p>
            <w:r/>
            <w:r>
              <w:rPr>
                <w:sz w:val="19"/>
              </w:rPr>
              <w:t>Khumela</w:t>
            </w:r>
          </w:p>
        </w:tc>
        <w:tc>
          <w:tcPr>
            <w:tcW w:type="dxa" w:w="1814"/>
            <w:vAlign w:val="center"/>
          </w:tcPr>
          <w:p>
            <w:r/>
            <w:r>
              <w:rPr>
                <w:sz w:val="19"/>
              </w:rPr>
              <w:t>Test scripts, laptop</w:t>
            </w:r>
          </w:p>
        </w:tc>
      </w:tr>
      <w:tr>
        <w:tc>
          <w:tcPr>
            <w:tcW w:type="dxa" w:w="567"/>
            <w:vAlign w:val="center"/>
          </w:tcPr>
          <w:p>
            <w:r/>
            <w:r>
              <w:rPr>
                <w:sz w:val="19"/>
              </w:rPr>
              <w:t>4.3</w:t>
            </w:r>
          </w:p>
        </w:tc>
        <w:tc>
          <w:tcPr>
            <w:tcW w:type="dxa" w:w="1814"/>
            <w:vAlign w:val="center"/>
          </w:tcPr>
          <w:p>
            <w:r/>
            <w:r>
              <w:rPr>
                <w:sz w:val="19"/>
              </w:rPr>
              <w:t>Bug Fixes &amp; Performance Tuning</w:t>
            </w:r>
          </w:p>
        </w:tc>
        <w:tc>
          <w:tcPr>
            <w:tcW w:type="dxa" w:w="2835"/>
            <w:vAlign w:val="center"/>
          </w:tcPr>
          <w:p>
            <w:r/>
            <w:r>
              <w:rPr>
                <w:sz w:val="19"/>
              </w:rPr>
              <w:t>Resolve UAT defects; optimise queries &amp; assets.</w:t>
            </w:r>
          </w:p>
        </w:tc>
        <w:tc>
          <w:tcPr>
            <w:tcW w:type="dxa" w:w="794"/>
            <w:vAlign w:val="center"/>
          </w:tcPr>
          <w:p>
            <w:r/>
            <w:r>
              <w:rPr>
                <w:sz w:val="19"/>
              </w:rPr>
              <w:t>4 d</w:t>
            </w:r>
          </w:p>
        </w:tc>
        <w:tc>
          <w:tcPr>
            <w:tcW w:type="dxa" w:w="567"/>
            <w:vAlign w:val="center"/>
          </w:tcPr>
          <w:p>
            <w:r/>
            <w:r>
              <w:rPr>
                <w:sz w:val="19"/>
              </w:rPr>
              <w:t>4.2</w:t>
            </w:r>
          </w:p>
        </w:tc>
        <w:tc>
          <w:tcPr>
            <w:tcW w:type="dxa" w:w="1191"/>
            <w:vAlign w:val="center"/>
          </w:tcPr>
          <w:p>
            <w:r/>
            <w:r>
              <w:rPr>
                <w:sz w:val="19"/>
              </w:rPr>
              <w:t>Both</w:t>
            </w:r>
          </w:p>
        </w:tc>
        <w:tc>
          <w:tcPr>
            <w:tcW w:type="dxa" w:w="1814"/>
            <w:vAlign w:val="center"/>
          </w:tcPr>
          <w:p>
            <w:r/>
            <w:r>
              <w:rPr>
                <w:sz w:val="19"/>
              </w:rPr>
              <w:t>VS Code, MySQL profiler</w:t>
            </w:r>
          </w:p>
        </w:tc>
      </w:tr>
      <w:tr>
        <w:tc>
          <w:tcPr>
            <w:tcW w:type="dxa" w:w="567"/>
            <w:vAlign w:val="center"/>
          </w:tcPr>
          <w:p>
            <w:r/>
            <w:r>
              <w:rPr>
                <w:sz w:val="19"/>
              </w:rPr>
              <w:t>5.1</w:t>
            </w:r>
          </w:p>
        </w:tc>
        <w:tc>
          <w:tcPr>
            <w:tcW w:type="dxa" w:w="1814"/>
            <w:vAlign w:val="center"/>
          </w:tcPr>
          <w:p>
            <w:r/>
            <w:r>
              <w:rPr>
                <w:sz w:val="19"/>
              </w:rPr>
              <w:t>Deployment to Hosting</w:t>
            </w:r>
          </w:p>
        </w:tc>
        <w:tc>
          <w:tcPr>
            <w:tcW w:type="dxa" w:w="2835"/>
            <w:vAlign w:val="center"/>
          </w:tcPr>
          <w:p>
            <w:r/>
            <w:r>
              <w:rPr>
                <w:sz w:val="19"/>
              </w:rPr>
              <w:t>Deploy to cPanel host (Afrihost), configure domain, SSL.</w:t>
            </w:r>
          </w:p>
        </w:tc>
        <w:tc>
          <w:tcPr>
            <w:tcW w:type="dxa" w:w="794"/>
            <w:vAlign w:val="center"/>
          </w:tcPr>
          <w:p>
            <w:r/>
            <w:r>
              <w:rPr>
                <w:sz w:val="19"/>
              </w:rPr>
              <w:t>2 d</w:t>
            </w:r>
          </w:p>
        </w:tc>
        <w:tc>
          <w:tcPr>
            <w:tcW w:type="dxa" w:w="567"/>
            <w:vAlign w:val="center"/>
          </w:tcPr>
          <w:p>
            <w:r/>
            <w:r>
              <w:rPr>
                <w:sz w:val="19"/>
              </w:rPr>
              <w:t>4.3</w:t>
            </w:r>
          </w:p>
        </w:tc>
        <w:tc>
          <w:tcPr>
            <w:tcW w:type="dxa" w:w="1191"/>
            <w:vAlign w:val="center"/>
          </w:tcPr>
          <w:p>
            <w:r/>
            <w:r>
              <w:rPr>
                <w:sz w:val="19"/>
              </w:rPr>
              <w:t>Jones</w:t>
            </w:r>
          </w:p>
        </w:tc>
        <w:tc>
          <w:tcPr>
            <w:tcW w:type="dxa" w:w="1814"/>
            <w:vAlign w:val="center"/>
          </w:tcPr>
          <w:p>
            <w:r/>
            <w:r>
              <w:rPr>
                <w:sz w:val="19"/>
              </w:rPr>
              <w:t>cPanel, Let's Encrypt</w:t>
            </w:r>
          </w:p>
        </w:tc>
      </w:tr>
      <w:tr>
        <w:tc>
          <w:tcPr>
            <w:tcW w:type="dxa" w:w="567"/>
            <w:vAlign w:val="center"/>
          </w:tcPr>
          <w:p>
            <w:r/>
            <w:r>
              <w:rPr>
                <w:sz w:val="19"/>
              </w:rPr>
              <w:t>5.2</w:t>
            </w:r>
          </w:p>
        </w:tc>
        <w:tc>
          <w:tcPr>
            <w:tcW w:type="dxa" w:w="1814"/>
            <w:vAlign w:val="center"/>
          </w:tcPr>
          <w:p>
            <w:r/>
            <w:r>
              <w:rPr>
                <w:sz w:val="19"/>
              </w:rPr>
              <w:t>Staff Training &amp; Handover Docs</w:t>
            </w:r>
          </w:p>
        </w:tc>
        <w:tc>
          <w:tcPr>
            <w:tcW w:type="dxa" w:w="2835"/>
            <w:vAlign w:val="center"/>
          </w:tcPr>
          <w:p>
            <w:r/>
            <w:r>
              <w:rPr>
                <w:sz w:val="19"/>
              </w:rPr>
              <w:t>Train admin, create user and admin manuals.</w:t>
            </w:r>
          </w:p>
        </w:tc>
        <w:tc>
          <w:tcPr>
            <w:tcW w:type="dxa" w:w="794"/>
            <w:vAlign w:val="center"/>
          </w:tcPr>
          <w:p>
            <w:r/>
            <w:r>
              <w:rPr>
                <w:sz w:val="19"/>
              </w:rPr>
              <w:t>3 d</w:t>
            </w:r>
          </w:p>
        </w:tc>
        <w:tc>
          <w:tcPr>
            <w:tcW w:type="dxa" w:w="567"/>
            <w:vAlign w:val="center"/>
          </w:tcPr>
          <w:p>
            <w:r/>
            <w:r>
              <w:rPr>
                <w:sz w:val="19"/>
              </w:rPr>
              <w:t>5.1</w:t>
            </w:r>
          </w:p>
        </w:tc>
        <w:tc>
          <w:tcPr>
            <w:tcW w:type="dxa" w:w="1191"/>
            <w:vAlign w:val="center"/>
          </w:tcPr>
          <w:p>
            <w:r/>
            <w:r>
              <w:rPr>
                <w:sz w:val="19"/>
              </w:rPr>
              <w:t>Khumela</w:t>
            </w:r>
          </w:p>
        </w:tc>
        <w:tc>
          <w:tcPr>
            <w:tcW w:type="dxa" w:w="1814"/>
            <w:vAlign w:val="center"/>
          </w:tcPr>
          <w:p>
            <w:r/>
            <w:r>
              <w:rPr>
                <w:sz w:val="19"/>
              </w:rPr>
              <w:t>MS Word, Projector</w:t>
            </w:r>
          </w:p>
        </w:tc>
      </w:tr>
      <w:tr>
        <w:tc>
          <w:tcPr>
            <w:tcW w:type="dxa" w:w="567"/>
            <w:vAlign w:val="center"/>
          </w:tcPr>
          <w:p>
            <w:r/>
            <w:r>
              <w:rPr>
                <w:sz w:val="19"/>
              </w:rPr>
              <w:t>5.3</w:t>
            </w:r>
          </w:p>
        </w:tc>
        <w:tc>
          <w:tcPr>
            <w:tcW w:type="dxa" w:w="1814"/>
            <w:vAlign w:val="center"/>
          </w:tcPr>
          <w:p>
            <w:r/>
            <w:r>
              <w:rPr>
                <w:sz w:val="19"/>
              </w:rPr>
              <w:t>Go-Live &amp; Post-Launch Support</w:t>
            </w:r>
          </w:p>
        </w:tc>
        <w:tc>
          <w:tcPr>
            <w:tcW w:type="dxa" w:w="2835"/>
            <w:vAlign w:val="center"/>
          </w:tcPr>
          <w:p>
            <w:r/>
            <w:r>
              <w:rPr>
                <w:sz w:val="19"/>
              </w:rPr>
              <w:t>Monitor live traffic, resolve incidents for 1 week.</w:t>
            </w:r>
          </w:p>
        </w:tc>
        <w:tc>
          <w:tcPr>
            <w:tcW w:type="dxa" w:w="794"/>
            <w:vAlign w:val="center"/>
          </w:tcPr>
          <w:p>
            <w:r/>
            <w:r>
              <w:rPr>
                <w:sz w:val="19"/>
              </w:rPr>
              <w:t>5 d</w:t>
            </w:r>
          </w:p>
        </w:tc>
        <w:tc>
          <w:tcPr>
            <w:tcW w:type="dxa" w:w="567"/>
            <w:vAlign w:val="center"/>
          </w:tcPr>
          <w:p>
            <w:r/>
            <w:r>
              <w:rPr>
                <w:sz w:val="19"/>
              </w:rPr>
              <w:t>5.2</w:t>
            </w:r>
          </w:p>
        </w:tc>
        <w:tc>
          <w:tcPr>
            <w:tcW w:type="dxa" w:w="1191"/>
            <w:vAlign w:val="center"/>
          </w:tcPr>
          <w:p>
            <w:r/>
            <w:r>
              <w:rPr>
                <w:sz w:val="19"/>
              </w:rPr>
              <w:t>Both</w:t>
            </w:r>
          </w:p>
        </w:tc>
        <w:tc>
          <w:tcPr>
            <w:tcW w:type="dxa" w:w="1814"/>
            <w:vAlign w:val="center"/>
          </w:tcPr>
          <w:p>
            <w:r/>
            <w:r>
              <w:rPr>
                <w:sz w:val="19"/>
              </w:rPr>
              <w:t>Hosting panel, email</w:t>
            </w:r>
          </w:p>
        </w:tc>
      </w:tr>
    </w:tbl>
    <w:p>
      <w:pPr>
        <w:jc w:val="center"/>
      </w:pPr>
      <w:r>
        <w:rPr>
          <w:i/>
          <w:color w:val="0B3D91"/>
          <w:sz w:val="19"/>
        </w:rPr>
        <w:t>Table 3.1 – Work Breakdown Structure (full)</w:t>
      </w:r>
    </w:p>
    <w:p>
      <w:pPr>
        <w:pStyle w:val="Heading2"/>
      </w:pPr>
      <w:r>
        <w:rPr>
          <w:rFonts w:ascii="Calibri" w:hAnsi="Calibri"/>
          <w:color w:val="0B3D91"/>
        </w:rPr>
        <w:t>3.1 WBS Summary by Phase</w:t>
      </w:r>
    </w:p>
    <w:tbl>
      <w:tblPr>
        <w:tblStyle w:val="LightGrid-Accent1"/>
        <w:tblW w:type="auto" w:w="0"/>
        <w:jc w:val="center"/>
        <w:tblLook w:firstColumn="1" w:firstRow="1" w:lastColumn="0" w:lastRow="0" w:noHBand="0" w:noVBand="1" w:val="04A0"/>
      </w:tblPr>
      <w:tblGrid>
        <w:gridCol w:w="3249"/>
        <w:gridCol w:w="3249"/>
        <w:gridCol w:w="3249"/>
      </w:tblGrid>
      <w:tr>
        <w:tc>
          <w:tcPr>
            <w:tcW w:type="dxa" w:w="3969"/>
            <w:shd w:val="clear" w:color="auto" w:fill="0B3D91"/>
            <w:vAlign w:val="center"/>
          </w:tcPr>
          <w:p>
            <w:r/>
            <w:r>
              <w:rPr>
                <w:b/>
                <w:color w:val="FFFFFF"/>
                <w:sz w:val="20"/>
              </w:rPr>
              <w:t>Phase</w:t>
            </w:r>
          </w:p>
        </w:tc>
        <w:tc>
          <w:tcPr>
            <w:tcW w:type="dxa" w:w="2835"/>
            <w:shd w:val="clear" w:color="auto" w:fill="0B3D91"/>
            <w:vAlign w:val="center"/>
          </w:tcPr>
          <w:p>
            <w:r/>
            <w:r>
              <w:rPr>
                <w:b/>
                <w:color w:val="FFFFFF"/>
                <w:sz w:val="20"/>
              </w:rPr>
              <w:t>Duration</w:t>
            </w:r>
          </w:p>
        </w:tc>
        <w:tc>
          <w:tcPr>
            <w:tcW w:type="dxa" w:w="2835"/>
            <w:shd w:val="clear" w:color="auto" w:fill="0B3D91"/>
            <w:vAlign w:val="center"/>
          </w:tcPr>
          <w:p>
            <w:r/>
            <w:r>
              <w:rPr>
                <w:b/>
                <w:color w:val="FFFFFF"/>
                <w:sz w:val="20"/>
              </w:rPr>
              <w:t>Tasks</w:t>
            </w:r>
          </w:p>
        </w:tc>
      </w:tr>
      <w:tr>
        <w:tc>
          <w:tcPr>
            <w:tcW w:type="dxa" w:w="3969"/>
            <w:vAlign w:val="center"/>
          </w:tcPr>
          <w:p>
            <w:r/>
            <w:r>
              <w:rPr>
                <w:sz w:val="19"/>
              </w:rPr>
              <w:t>Phase 1 – Initiation</w:t>
            </w:r>
          </w:p>
        </w:tc>
        <w:tc>
          <w:tcPr>
            <w:tcW w:type="dxa" w:w="2835"/>
            <w:vAlign w:val="center"/>
          </w:tcPr>
          <w:p>
            <w:r/>
            <w:r>
              <w:rPr>
                <w:sz w:val="19"/>
              </w:rPr>
              <w:t>10 days</w:t>
            </w:r>
          </w:p>
        </w:tc>
        <w:tc>
          <w:tcPr>
            <w:tcW w:type="dxa" w:w="2835"/>
            <w:vAlign w:val="center"/>
          </w:tcPr>
          <w:p>
            <w:r/>
            <w:r>
              <w:rPr>
                <w:sz w:val="19"/>
              </w:rPr>
              <w:t>1.1 – 1.3</w:t>
            </w:r>
          </w:p>
        </w:tc>
      </w:tr>
      <w:tr>
        <w:tc>
          <w:tcPr>
            <w:tcW w:type="dxa" w:w="3969"/>
            <w:vAlign w:val="center"/>
          </w:tcPr>
          <w:p>
            <w:r/>
            <w:r>
              <w:rPr>
                <w:sz w:val="19"/>
              </w:rPr>
              <w:t>Phase 2 – Analysis &amp; Design</w:t>
            </w:r>
          </w:p>
        </w:tc>
        <w:tc>
          <w:tcPr>
            <w:tcW w:type="dxa" w:w="2835"/>
            <w:vAlign w:val="center"/>
          </w:tcPr>
          <w:p>
            <w:r/>
            <w:r>
              <w:rPr>
                <w:sz w:val="19"/>
              </w:rPr>
              <w:t>10 days</w:t>
            </w:r>
          </w:p>
        </w:tc>
        <w:tc>
          <w:tcPr>
            <w:tcW w:type="dxa" w:w="2835"/>
            <w:vAlign w:val="center"/>
          </w:tcPr>
          <w:p>
            <w:r/>
            <w:r>
              <w:rPr>
                <w:sz w:val="19"/>
              </w:rPr>
              <w:t>2.1 – 2.4</w:t>
            </w:r>
          </w:p>
        </w:tc>
      </w:tr>
      <w:tr>
        <w:tc>
          <w:tcPr>
            <w:tcW w:type="dxa" w:w="3969"/>
            <w:vAlign w:val="center"/>
          </w:tcPr>
          <w:p>
            <w:r/>
            <w:r>
              <w:rPr>
                <w:sz w:val="19"/>
              </w:rPr>
              <w:t>Phase 3 – Development</w:t>
            </w:r>
          </w:p>
        </w:tc>
        <w:tc>
          <w:tcPr>
            <w:tcW w:type="dxa" w:w="2835"/>
            <w:vAlign w:val="center"/>
          </w:tcPr>
          <w:p>
            <w:r/>
            <w:r>
              <w:rPr>
                <w:sz w:val="19"/>
              </w:rPr>
              <w:t>30 days</w:t>
            </w:r>
          </w:p>
        </w:tc>
        <w:tc>
          <w:tcPr>
            <w:tcW w:type="dxa" w:w="2835"/>
            <w:vAlign w:val="center"/>
          </w:tcPr>
          <w:p>
            <w:r/>
            <w:r>
              <w:rPr>
                <w:sz w:val="19"/>
              </w:rPr>
              <w:t>3.1 – 3.7</w:t>
            </w:r>
          </w:p>
        </w:tc>
      </w:tr>
      <w:tr>
        <w:tc>
          <w:tcPr>
            <w:tcW w:type="dxa" w:w="3969"/>
            <w:vAlign w:val="center"/>
          </w:tcPr>
          <w:p>
            <w:r/>
            <w:r>
              <w:rPr>
                <w:sz w:val="19"/>
              </w:rPr>
              <w:t>Phase 4 – Testing</w:t>
            </w:r>
          </w:p>
        </w:tc>
        <w:tc>
          <w:tcPr>
            <w:tcW w:type="dxa" w:w="2835"/>
            <w:vAlign w:val="center"/>
          </w:tcPr>
          <w:p>
            <w:r/>
            <w:r>
              <w:rPr>
                <w:sz w:val="19"/>
              </w:rPr>
              <w:t>10 days</w:t>
            </w:r>
          </w:p>
        </w:tc>
        <w:tc>
          <w:tcPr>
            <w:tcW w:type="dxa" w:w="2835"/>
            <w:vAlign w:val="center"/>
          </w:tcPr>
          <w:p>
            <w:r/>
            <w:r>
              <w:rPr>
                <w:sz w:val="19"/>
              </w:rPr>
              <w:t>4.1 – 4.3</w:t>
            </w:r>
          </w:p>
        </w:tc>
      </w:tr>
      <w:tr>
        <w:tc>
          <w:tcPr>
            <w:tcW w:type="dxa" w:w="3969"/>
            <w:vAlign w:val="center"/>
          </w:tcPr>
          <w:p>
            <w:r/>
            <w:r>
              <w:rPr>
                <w:sz w:val="19"/>
              </w:rPr>
              <w:t>Phase 5 – Deployment</w:t>
            </w:r>
          </w:p>
        </w:tc>
        <w:tc>
          <w:tcPr>
            <w:tcW w:type="dxa" w:w="2835"/>
            <w:vAlign w:val="center"/>
          </w:tcPr>
          <w:p>
            <w:r/>
            <w:r>
              <w:rPr>
                <w:sz w:val="19"/>
              </w:rPr>
              <w:t>10 days</w:t>
            </w:r>
          </w:p>
        </w:tc>
        <w:tc>
          <w:tcPr>
            <w:tcW w:type="dxa" w:w="2835"/>
            <w:vAlign w:val="center"/>
          </w:tcPr>
          <w:p>
            <w:r/>
            <w:r>
              <w:rPr>
                <w:sz w:val="19"/>
              </w:rPr>
              <w:t>5.1 – 5.3</w:t>
            </w:r>
          </w:p>
        </w:tc>
      </w:tr>
      <w:tr>
        <w:tc>
          <w:tcPr>
            <w:tcW w:type="dxa" w:w="3969"/>
            <w:vAlign w:val="center"/>
          </w:tcPr>
          <w:p>
            <w:r/>
            <w:r>
              <w:rPr>
                <w:sz w:val="19"/>
              </w:rPr>
              <w:t>Total Duration</w:t>
            </w:r>
          </w:p>
        </w:tc>
        <w:tc>
          <w:tcPr>
            <w:tcW w:type="dxa" w:w="2835"/>
            <w:vAlign w:val="center"/>
          </w:tcPr>
          <w:p>
            <w:r/>
            <w:r>
              <w:rPr>
                <w:sz w:val="19"/>
              </w:rPr>
              <w:t>70 working days (~14 weeks)</w:t>
            </w:r>
          </w:p>
        </w:tc>
        <w:tc>
          <w:tcPr>
            <w:tcW w:type="dxa" w:w="2835"/>
            <w:vAlign w:val="center"/>
          </w:tcPr>
          <w:p>
            <w:r/>
            <w:r>
              <w:rPr>
                <w:sz w:val="19"/>
              </w:rPr>
              <w:t>—</w:t>
            </w:r>
          </w:p>
        </w:tc>
      </w:tr>
    </w:tbl>
    <w:p>
      <w:pPr>
        <w:jc w:val="center"/>
      </w:pPr>
      <w:r>
        <w:rPr>
          <w:i/>
          <w:color w:val="0B3D91"/>
          <w:sz w:val="19"/>
        </w:rPr>
        <w:t>Table 3.2 – WBS summary by phase</w:t>
      </w:r>
    </w:p>
    <w:p>
      <w:r>
        <w:br w:type="page"/>
      </w:r>
    </w:p>
    <w:p>
      <w:pPr>
        <w:pStyle w:val="Heading1"/>
      </w:pPr>
      <w:r>
        <w:rPr>
          <w:rFonts w:ascii="Calibri" w:hAnsi="Calibri"/>
          <w:color w:val="0B3D91"/>
        </w:rPr>
        <w:t>4. Project Schedule – Gantt Chart &amp; Interpretation</w:t>
      </w:r>
    </w:p>
    <w:p>
      <w:r>
        <w:rPr>
          <w:b w:val="0"/>
          <w:i w:val="0"/>
          <w:color w:val="222222"/>
          <w:sz w:val="22"/>
        </w:rPr>
        <w:t>The Gantt chart below translates the WBS into a visual timeline. It shows each task's start and end dates, its phase (colour-coded), the responsible team member, and the five project milestones (dotted red lines).</w:t>
      </w:r>
    </w:p>
    <w:p>
      <w:r>
        <w:drawing>
          <wp:inline xmlns:a="http://schemas.openxmlformats.org/drawingml/2006/main" xmlns:pic="http://schemas.openxmlformats.org/drawingml/2006/picture">
            <wp:extent cx="5940000" cy="4090592"/>
            <wp:docPr id="6" name="Picture 6"/>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5940000" cy="4090592"/>
                    </a:xfrm>
                    <a:prstGeom prst="rect"/>
                  </pic:spPr>
                </pic:pic>
              </a:graphicData>
            </a:graphic>
          </wp:inline>
        </w:drawing>
      </w:r>
    </w:p>
    <w:p>
      <w:pPr>
        <w:jc w:val="center"/>
      </w:pPr>
      <w:r>
        <w:rPr>
          <w:i/>
          <w:color w:val="0B3D91"/>
          <w:sz w:val="19"/>
        </w:rPr>
        <w:t>Figure 4.1 – MJSCYBER Project Gantt Chart (May – August 2026)</w:t>
      </w:r>
    </w:p>
    <w:p>
      <w:pPr>
        <w:pStyle w:val="Heading2"/>
      </w:pPr>
      <w:r>
        <w:rPr>
          <w:rFonts w:ascii="Calibri" w:hAnsi="Calibri"/>
          <w:color w:val="0B3D91"/>
        </w:rPr>
        <w:t>4.1 Interpretation of the Gantt Chart</w:t>
      </w:r>
    </w:p>
    <w:p>
      <w:pPr>
        <w:pStyle w:val="ListBullet"/>
      </w:pPr>
      <w:r>
        <w:t>Critical path: Tasks 1.1 → 1.3 → 2.2 → 3.1 → 3.2 → 3.3 → 3.4 → 4.1 → 4.3 → 5.1 → 5.3 drive total project duration; any delay on these tasks delays go-live.</w:t>
      </w:r>
    </w:p>
    <w:p>
      <w:pPr>
        <w:pStyle w:val="ListBullet"/>
      </w:pPr>
      <w:r>
        <w:t>Parallelism: UI wireframing (2.3) runs in parallel with database design (2.2), and the Certificate/Verify module (3.5) runs alongside the Scheduling module (3.6), compressing the schedule by ~12 working days.</w:t>
      </w:r>
    </w:p>
    <w:p>
      <w:pPr>
        <w:pStyle w:val="ListBullet"/>
      </w:pPr>
      <w:r>
        <w:t>Load balancing: Jones carries most backend-heavy tasks (auth, enrolment, grading) while Khumela leads UI, certification UI and scheduling UI — aligning workload with individual skills.</w:t>
      </w:r>
    </w:p>
    <w:p>
      <w:pPr>
        <w:pStyle w:val="ListBullet"/>
      </w:pPr>
      <w:r>
        <w:t>Buffer: Task 4.3 (Bug Fixes) provides a 4-day buffer before deployment, absorbing minor schedule slippage from UAT.</w:t>
      </w:r>
    </w:p>
    <w:p>
      <w:pPr>
        <w:pStyle w:val="ListBullet"/>
      </w:pPr>
      <w:r>
        <w:t>Milestones M1–M5 serve as formal sign-off gates; the project cannot advance past a milestone without client approval, enforcing discipline.</w:t>
      </w:r>
    </w:p>
    <w:p>
      <w:r>
        <w:br w:type="page"/>
      </w:r>
    </w:p>
    <w:p>
      <w:pPr>
        <w:pStyle w:val="Heading1"/>
      </w:pPr>
      <w:r>
        <w:rPr>
          <w:rFonts w:ascii="Calibri" w:hAnsi="Calibri"/>
          <w:color w:val="0B3D91"/>
        </w:rPr>
        <w:t>5. Risk Management</w:t>
      </w:r>
    </w:p>
    <w:p>
      <w:r>
        <w:rPr>
          <w:b w:val="0"/>
          <w:i w:val="0"/>
          <w:color w:val="222222"/>
          <w:sz w:val="22"/>
        </w:rPr>
        <w:t>A comprehensive risk register has been developed. Each risk is rated for probability (1–5) and impact (1–5); the product is the Risk Score, which informs mitigation priority. Proactive mitigation and a contingency plan are defined for every risk.</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567"/>
            <w:shd w:val="clear" w:color="auto" w:fill="0B3D91"/>
            <w:vAlign w:val="center"/>
          </w:tcPr>
          <w:p>
            <w:r/>
            <w:r>
              <w:rPr>
                <w:b/>
                <w:color w:val="FFFFFF"/>
                <w:sz w:val="20"/>
              </w:rPr>
              <w:t>ID</w:t>
            </w:r>
          </w:p>
        </w:tc>
        <w:tc>
          <w:tcPr>
            <w:tcW w:type="dxa" w:w="2381"/>
            <w:shd w:val="clear" w:color="auto" w:fill="0B3D91"/>
            <w:vAlign w:val="center"/>
          </w:tcPr>
          <w:p>
            <w:r/>
            <w:r>
              <w:rPr>
                <w:b/>
                <w:color w:val="FFFFFF"/>
                <w:sz w:val="20"/>
              </w:rPr>
              <w:t>Risk Description</w:t>
            </w:r>
          </w:p>
        </w:tc>
        <w:tc>
          <w:tcPr>
            <w:tcW w:type="dxa" w:w="1134"/>
            <w:shd w:val="clear" w:color="auto" w:fill="0B3D91"/>
            <w:vAlign w:val="center"/>
          </w:tcPr>
          <w:p>
            <w:r/>
            <w:r>
              <w:rPr>
                <w:b/>
                <w:color w:val="FFFFFF"/>
                <w:sz w:val="20"/>
              </w:rPr>
              <w:t>Category</w:t>
            </w:r>
          </w:p>
        </w:tc>
        <w:tc>
          <w:tcPr>
            <w:tcW w:type="dxa" w:w="567"/>
            <w:shd w:val="clear" w:color="auto" w:fill="0B3D91"/>
            <w:vAlign w:val="center"/>
          </w:tcPr>
          <w:p>
            <w:r/>
            <w:r>
              <w:rPr>
                <w:b/>
                <w:color w:val="FFFFFF"/>
                <w:sz w:val="20"/>
              </w:rPr>
              <w:t>P (1-5)</w:t>
            </w:r>
          </w:p>
        </w:tc>
        <w:tc>
          <w:tcPr>
            <w:tcW w:type="dxa" w:w="567"/>
            <w:shd w:val="clear" w:color="auto" w:fill="0B3D91"/>
            <w:vAlign w:val="center"/>
          </w:tcPr>
          <w:p>
            <w:r/>
            <w:r>
              <w:rPr>
                <w:b/>
                <w:color w:val="FFFFFF"/>
                <w:sz w:val="20"/>
              </w:rPr>
              <w:t>I (1-5)</w:t>
            </w:r>
          </w:p>
        </w:tc>
        <w:tc>
          <w:tcPr>
            <w:tcW w:type="dxa" w:w="567"/>
            <w:shd w:val="clear" w:color="auto" w:fill="0B3D91"/>
            <w:vAlign w:val="center"/>
          </w:tcPr>
          <w:p>
            <w:r/>
            <w:r>
              <w:rPr>
                <w:b/>
                <w:color w:val="FFFFFF"/>
                <w:sz w:val="20"/>
              </w:rPr>
              <w:t>Score</w:t>
            </w:r>
          </w:p>
        </w:tc>
        <w:tc>
          <w:tcPr>
            <w:tcW w:type="dxa" w:w="2268"/>
            <w:shd w:val="clear" w:color="auto" w:fill="0B3D91"/>
            <w:vAlign w:val="center"/>
          </w:tcPr>
          <w:p>
            <w:r/>
            <w:r>
              <w:rPr>
                <w:b/>
                <w:color w:val="FFFFFF"/>
                <w:sz w:val="20"/>
              </w:rPr>
              <w:t>Proactive Mitigation</w:t>
            </w:r>
          </w:p>
        </w:tc>
        <w:tc>
          <w:tcPr>
            <w:tcW w:type="dxa" w:w="1871"/>
            <w:shd w:val="clear" w:color="auto" w:fill="0B3D91"/>
            <w:vAlign w:val="center"/>
          </w:tcPr>
          <w:p>
            <w:r/>
            <w:r>
              <w:rPr>
                <w:b/>
                <w:color w:val="FFFFFF"/>
                <w:sz w:val="20"/>
              </w:rPr>
              <w:t>Contingency</w:t>
            </w:r>
          </w:p>
        </w:tc>
      </w:tr>
      <w:tr>
        <w:tc>
          <w:tcPr>
            <w:tcW w:type="dxa" w:w="567"/>
            <w:vAlign w:val="center"/>
          </w:tcPr>
          <w:p>
            <w:r/>
            <w:r>
              <w:rPr>
                <w:sz w:val="19"/>
              </w:rPr>
              <w:t>R1</w:t>
            </w:r>
          </w:p>
        </w:tc>
        <w:tc>
          <w:tcPr>
            <w:tcW w:type="dxa" w:w="2381"/>
            <w:vAlign w:val="center"/>
          </w:tcPr>
          <w:p>
            <w:r/>
            <w:r>
              <w:rPr>
                <w:sz w:val="19"/>
              </w:rPr>
              <w:t>Load-shedding / power outages in Bochum disrupting development and demos.</w:t>
            </w:r>
          </w:p>
        </w:tc>
        <w:tc>
          <w:tcPr>
            <w:tcW w:type="dxa" w:w="1134"/>
            <w:vAlign w:val="center"/>
          </w:tcPr>
          <w:p>
            <w:r/>
            <w:r>
              <w:rPr>
                <w:sz w:val="19"/>
              </w:rPr>
              <w:t>Operational</w:t>
            </w:r>
          </w:p>
        </w:tc>
        <w:tc>
          <w:tcPr>
            <w:tcW w:type="dxa" w:w="567"/>
            <w:vAlign w:val="center"/>
          </w:tcPr>
          <w:p>
            <w:r/>
            <w:r>
              <w:rPr>
                <w:sz w:val="19"/>
              </w:rPr>
              <w:t>5</w:t>
            </w:r>
          </w:p>
        </w:tc>
        <w:tc>
          <w:tcPr>
            <w:tcW w:type="dxa" w:w="567"/>
            <w:vAlign w:val="center"/>
          </w:tcPr>
          <w:p>
            <w:r/>
            <w:r>
              <w:rPr>
                <w:sz w:val="19"/>
              </w:rPr>
              <w:t>4</w:t>
            </w:r>
          </w:p>
        </w:tc>
        <w:tc>
          <w:tcPr>
            <w:tcW w:type="dxa" w:w="567"/>
            <w:vAlign w:val="center"/>
          </w:tcPr>
          <w:p>
            <w:r/>
            <w:r>
              <w:rPr>
                <w:sz w:val="19"/>
              </w:rPr>
              <w:t>20</w:t>
            </w:r>
          </w:p>
        </w:tc>
        <w:tc>
          <w:tcPr>
            <w:tcW w:type="dxa" w:w="2268"/>
            <w:vAlign w:val="center"/>
          </w:tcPr>
          <w:p>
            <w:r/>
            <w:r>
              <w:rPr>
                <w:sz w:val="19"/>
              </w:rPr>
              <w:t>Deploy to cloud-hosted environment (Afrihost) from day 1; team to use laptops with UPS &amp; mobile hotspot.</w:t>
            </w:r>
          </w:p>
        </w:tc>
        <w:tc>
          <w:tcPr>
            <w:tcW w:type="dxa" w:w="1871"/>
            <w:vAlign w:val="center"/>
          </w:tcPr>
          <w:p>
            <w:r/>
            <w:r>
              <w:rPr>
                <w:sz w:val="19"/>
              </w:rPr>
              <w:t>Switch to offline coding and sync to Git when power returns; reschedule demos.</w:t>
            </w:r>
          </w:p>
        </w:tc>
      </w:tr>
      <w:tr>
        <w:tc>
          <w:tcPr>
            <w:tcW w:type="dxa" w:w="567"/>
            <w:vAlign w:val="center"/>
          </w:tcPr>
          <w:p>
            <w:r/>
            <w:r>
              <w:rPr>
                <w:sz w:val="19"/>
              </w:rPr>
              <w:t>R2</w:t>
            </w:r>
          </w:p>
        </w:tc>
        <w:tc>
          <w:tcPr>
            <w:tcW w:type="dxa" w:w="2381"/>
            <w:vAlign w:val="center"/>
          </w:tcPr>
          <w:p>
            <w:r/>
            <w:r>
              <w:rPr>
                <w:sz w:val="19"/>
              </w:rPr>
              <w:t>Scope creep from stakeholder change requests after sign-off.</w:t>
            </w:r>
          </w:p>
        </w:tc>
        <w:tc>
          <w:tcPr>
            <w:tcW w:type="dxa" w:w="1134"/>
            <w:vAlign w:val="center"/>
          </w:tcPr>
          <w:p>
            <w:r/>
            <w:r>
              <w:rPr>
                <w:sz w:val="19"/>
              </w:rPr>
              <w:t>Managerial</w:t>
            </w:r>
          </w:p>
        </w:tc>
        <w:tc>
          <w:tcPr>
            <w:tcW w:type="dxa" w:w="567"/>
            <w:vAlign w:val="center"/>
          </w:tcPr>
          <w:p>
            <w:r/>
            <w:r>
              <w:rPr>
                <w:sz w:val="19"/>
              </w:rPr>
              <w:t>4</w:t>
            </w:r>
          </w:p>
        </w:tc>
        <w:tc>
          <w:tcPr>
            <w:tcW w:type="dxa" w:w="567"/>
            <w:vAlign w:val="center"/>
          </w:tcPr>
          <w:p>
            <w:r/>
            <w:r>
              <w:rPr>
                <w:sz w:val="19"/>
              </w:rPr>
              <w:t>4</w:t>
            </w:r>
          </w:p>
        </w:tc>
        <w:tc>
          <w:tcPr>
            <w:tcW w:type="dxa" w:w="567"/>
            <w:vAlign w:val="center"/>
          </w:tcPr>
          <w:p>
            <w:r/>
            <w:r>
              <w:rPr>
                <w:sz w:val="19"/>
              </w:rPr>
              <w:t>16</w:t>
            </w:r>
          </w:p>
        </w:tc>
        <w:tc>
          <w:tcPr>
            <w:tcW w:type="dxa" w:w="2268"/>
            <w:vAlign w:val="center"/>
          </w:tcPr>
          <w:p>
            <w:r/>
            <w:r>
              <w:rPr>
                <w:sz w:val="19"/>
              </w:rPr>
              <w:t>Signed scope statement (M1); formal Change Request form required for every new feature.</w:t>
            </w:r>
          </w:p>
        </w:tc>
        <w:tc>
          <w:tcPr>
            <w:tcW w:type="dxa" w:w="1871"/>
            <w:vAlign w:val="center"/>
          </w:tcPr>
          <w:p>
            <w:r/>
            <w:r>
              <w:rPr>
                <w:sz w:val="19"/>
              </w:rPr>
              <w:t>Re-baseline schedule &amp; budget; defer non-critical requests to Phase 2.</w:t>
            </w:r>
          </w:p>
        </w:tc>
      </w:tr>
      <w:tr>
        <w:tc>
          <w:tcPr>
            <w:tcW w:type="dxa" w:w="567"/>
            <w:vAlign w:val="center"/>
          </w:tcPr>
          <w:p>
            <w:r/>
            <w:r>
              <w:rPr>
                <w:sz w:val="19"/>
              </w:rPr>
              <w:t>R3</w:t>
            </w:r>
          </w:p>
        </w:tc>
        <w:tc>
          <w:tcPr>
            <w:tcW w:type="dxa" w:w="2381"/>
            <w:vAlign w:val="center"/>
          </w:tcPr>
          <w:p>
            <w:r/>
            <w:r>
              <w:rPr>
                <w:sz w:val="19"/>
              </w:rPr>
              <w:t>Security breach exposing student ID documents and personal data.</w:t>
            </w:r>
          </w:p>
        </w:tc>
        <w:tc>
          <w:tcPr>
            <w:tcW w:type="dxa" w:w="1134"/>
            <w:vAlign w:val="center"/>
          </w:tcPr>
          <w:p>
            <w:r/>
            <w:r>
              <w:rPr>
                <w:sz w:val="19"/>
              </w:rPr>
              <w:t>Security</w:t>
            </w:r>
          </w:p>
        </w:tc>
        <w:tc>
          <w:tcPr>
            <w:tcW w:type="dxa" w:w="567"/>
            <w:vAlign w:val="center"/>
          </w:tcPr>
          <w:p>
            <w:r/>
            <w:r>
              <w:rPr>
                <w:sz w:val="19"/>
              </w:rPr>
              <w:t>3</w:t>
            </w:r>
          </w:p>
        </w:tc>
        <w:tc>
          <w:tcPr>
            <w:tcW w:type="dxa" w:w="567"/>
            <w:vAlign w:val="center"/>
          </w:tcPr>
          <w:p>
            <w:r/>
            <w:r>
              <w:rPr>
                <w:sz w:val="19"/>
              </w:rPr>
              <w:t>5</w:t>
            </w:r>
          </w:p>
        </w:tc>
        <w:tc>
          <w:tcPr>
            <w:tcW w:type="dxa" w:w="567"/>
            <w:vAlign w:val="center"/>
          </w:tcPr>
          <w:p>
            <w:r/>
            <w:r>
              <w:rPr>
                <w:sz w:val="19"/>
              </w:rPr>
              <w:t>15</w:t>
            </w:r>
          </w:p>
        </w:tc>
        <w:tc>
          <w:tcPr>
            <w:tcW w:type="dxa" w:w="2268"/>
            <w:vAlign w:val="center"/>
          </w:tcPr>
          <w:p>
            <w:r/>
            <w:r>
              <w:rPr>
                <w:sz w:val="19"/>
              </w:rPr>
              <w:t>Password hashing (bcrypt), HTTPS-only, prepared statements, RBAC, encrypted file storage.</w:t>
            </w:r>
          </w:p>
        </w:tc>
        <w:tc>
          <w:tcPr>
            <w:tcW w:type="dxa" w:w="1871"/>
            <w:vAlign w:val="center"/>
          </w:tcPr>
          <w:p>
            <w:r/>
            <w:r>
              <w:rPr>
                <w:sz w:val="19"/>
              </w:rPr>
              <w:t>Invoke incident-response plan; notify affected users &amp; Information Regulator per POPIA.</w:t>
            </w:r>
          </w:p>
        </w:tc>
      </w:tr>
      <w:tr>
        <w:tc>
          <w:tcPr>
            <w:tcW w:type="dxa" w:w="567"/>
            <w:vAlign w:val="center"/>
          </w:tcPr>
          <w:p>
            <w:r/>
            <w:r>
              <w:rPr>
                <w:sz w:val="19"/>
              </w:rPr>
              <w:t>R4</w:t>
            </w:r>
          </w:p>
        </w:tc>
        <w:tc>
          <w:tcPr>
            <w:tcW w:type="dxa" w:w="2381"/>
            <w:vAlign w:val="center"/>
          </w:tcPr>
          <w:p>
            <w:r/>
            <w:r>
              <w:rPr>
                <w:sz w:val="19"/>
              </w:rPr>
              <w:t>Key-person dependency — illness of a 2-member team could stall delivery.</w:t>
            </w:r>
          </w:p>
        </w:tc>
        <w:tc>
          <w:tcPr>
            <w:tcW w:type="dxa" w:w="1134"/>
            <w:vAlign w:val="center"/>
          </w:tcPr>
          <w:p>
            <w:r/>
            <w:r>
              <w:rPr>
                <w:sz w:val="19"/>
              </w:rPr>
              <w:t>Human Resources</w:t>
            </w:r>
          </w:p>
        </w:tc>
        <w:tc>
          <w:tcPr>
            <w:tcW w:type="dxa" w:w="567"/>
            <w:vAlign w:val="center"/>
          </w:tcPr>
          <w:p>
            <w:r/>
            <w:r>
              <w:rPr>
                <w:sz w:val="19"/>
              </w:rPr>
              <w:t>3</w:t>
            </w:r>
          </w:p>
        </w:tc>
        <w:tc>
          <w:tcPr>
            <w:tcW w:type="dxa" w:w="567"/>
            <w:vAlign w:val="center"/>
          </w:tcPr>
          <w:p>
            <w:r/>
            <w:r>
              <w:rPr>
                <w:sz w:val="19"/>
              </w:rPr>
              <w:t>4</w:t>
            </w:r>
          </w:p>
        </w:tc>
        <w:tc>
          <w:tcPr>
            <w:tcW w:type="dxa" w:w="567"/>
            <w:vAlign w:val="center"/>
          </w:tcPr>
          <w:p>
            <w:r/>
            <w:r>
              <w:rPr>
                <w:sz w:val="19"/>
              </w:rPr>
              <w:t>12</w:t>
            </w:r>
          </w:p>
        </w:tc>
        <w:tc>
          <w:tcPr>
            <w:tcW w:type="dxa" w:w="2268"/>
            <w:vAlign w:val="center"/>
          </w:tcPr>
          <w:p>
            <w:r/>
            <w:r>
              <w:rPr>
                <w:sz w:val="19"/>
              </w:rPr>
              <w:t>Cross-train each member on the other's module; shared Git repo; weekly pair-programming.</w:t>
            </w:r>
          </w:p>
        </w:tc>
        <w:tc>
          <w:tcPr>
            <w:tcW w:type="dxa" w:w="1871"/>
            <w:vAlign w:val="center"/>
          </w:tcPr>
          <w:p>
            <w:r/>
            <w:r>
              <w:rPr>
                <w:sz w:val="19"/>
              </w:rPr>
              <w:t>Engage a university peer as a short-term backup developer; extend buffer in Task 4.3.</w:t>
            </w:r>
          </w:p>
        </w:tc>
      </w:tr>
      <w:tr>
        <w:tc>
          <w:tcPr>
            <w:tcW w:type="dxa" w:w="567"/>
            <w:vAlign w:val="center"/>
          </w:tcPr>
          <w:p>
            <w:r/>
            <w:r>
              <w:rPr>
                <w:sz w:val="19"/>
              </w:rPr>
              <w:t>R5</w:t>
            </w:r>
          </w:p>
        </w:tc>
        <w:tc>
          <w:tcPr>
            <w:tcW w:type="dxa" w:w="2381"/>
            <w:vAlign w:val="center"/>
          </w:tcPr>
          <w:p>
            <w:r/>
            <w:r>
              <w:rPr>
                <w:sz w:val="19"/>
              </w:rPr>
              <w:t>Rural low-bandwidth users experience slow page loads.</w:t>
            </w:r>
          </w:p>
        </w:tc>
        <w:tc>
          <w:tcPr>
            <w:tcW w:type="dxa" w:w="1134"/>
            <w:vAlign w:val="center"/>
          </w:tcPr>
          <w:p>
            <w:r/>
            <w:r>
              <w:rPr>
                <w:sz w:val="19"/>
              </w:rPr>
              <w:t>Technical</w:t>
            </w:r>
          </w:p>
        </w:tc>
        <w:tc>
          <w:tcPr>
            <w:tcW w:type="dxa" w:w="567"/>
            <w:vAlign w:val="center"/>
          </w:tcPr>
          <w:p>
            <w:r/>
            <w:r>
              <w:rPr>
                <w:sz w:val="19"/>
              </w:rPr>
              <w:t>4</w:t>
            </w:r>
          </w:p>
        </w:tc>
        <w:tc>
          <w:tcPr>
            <w:tcW w:type="dxa" w:w="567"/>
            <w:vAlign w:val="center"/>
          </w:tcPr>
          <w:p>
            <w:r/>
            <w:r>
              <w:rPr>
                <w:sz w:val="19"/>
              </w:rPr>
              <w:t>3</w:t>
            </w:r>
          </w:p>
        </w:tc>
        <w:tc>
          <w:tcPr>
            <w:tcW w:type="dxa" w:w="567"/>
            <w:vAlign w:val="center"/>
          </w:tcPr>
          <w:p>
            <w:r/>
            <w:r>
              <w:rPr>
                <w:sz w:val="19"/>
              </w:rPr>
              <w:t>12</w:t>
            </w:r>
          </w:p>
        </w:tc>
        <w:tc>
          <w:tcPr>
            <w:tcW w:type="dxa" w:w="2268"/>
            <w:vAlign w:val="center"/>
          </w:tcPr>
          <w:p>
            <w:r/>
            <w:r>
              <w:rPr>
                <w:sz w:val="19"/>
              </w:rPr>
              <w:t>Lightweight frontend (no heavy frameworks), image compression, server-side caching.</w:t>
            </w:r>
          </w:p>
        </w:tc>
        <w:tc>
          <w:tcPr>
            <w:tcW w:type="dxa" w:w="1871"/>
            <w:vAlign w:val="center"/>
          </w:tcPr>
          <w:p>
            <w:r/>
            <w:r>
              <w:rPr>
                <w:sz w:val="19"/>
              </w:rPr>
              <w:t>Enable Cloudflare CDN; provide simplified mobile view.</w:t>
            </w:r>
          </w:p>
        </w:tc>
      </w:tr>
      <w:tr>
        <w:tc>
          <w:tcPr>
            <w:tcW w:type="dxa" w:w="567"/>
            <w:vAlign w:val="center"/>
          </w:tcPr>
          <w:p>
            <w:r/>
            <w:r>
              <w:rPr>
                <w:sz w:val="19"/>
              </w:rPr>
              <w:t>R6</w:t>
            </w:r>
          </w:p>
        </w:tc>
        <w:tc>
          <w:tcPr>
            <w:tcW w:type="dxa" w:w="2381"/>
            <w:vAlign w:val="center"/>
          </w:tcPr>
          <w:p>
            <w:r/>
            <w:r>
              <w:rPr>
                <w:sz w:val="19"/>
              </w:rPr>
              <w:t>Hardware failure (laptop crash) with loss of local code.</w:t>
            </w:r>
          </w:p>
        </w:tc>
        <w:tc>
          <w:tcPr>
            <w:tcW w:type="dxa" w:w="1134"/>
            <w:vAlign w:val="center"/>
          </w:tcPr>
          <w:p>
            <w:r/>
            <w:r>
              <w:rPr>
                <w:sz w:val="19"/>
              </w:rPr>
              <w:t>Technical</w:t>
            </w:r>
          </w:p>
        </w:tc>
        <w:tc>
          <w:tcPr>
            <w:tcW w:type="dxa" w:w="567"/>
            <w:vAlign w:val="center"/>
          </w:tcPr>
          <w:p>
            <w:r/>
            <w:r>
              <w:rPr>
                <w:sz w:val="19"/>
              </w:rPr>
              <w:t>2</w:t>
            </w:r>
          </w:p>
        </w:tc>
        <w:tc>
          <w:tcPr>
            <w:tcW w:type="dxa" w:w="567"/>
            <w:vAlign w:val="center"/>
          </w:tcPr>
          <w:p>
            <w:r/>
            <w:r>
              <w:rPr>
                <w:sz w:val="19"/>
              </w:rPr>
              <w:t>5</w:t>
            </w:r>
          </w:p>
        </w:tc>
        <w:tc>
          <w:tcPr>
            <w:tcW w:type="dxa" w:w="567"/>
            <w:vAlign w:val="center"/>
          </w:tcPr>
          <w:p>
            <w:r/>
            <w:r>
              <w:rPr>
                <w:sz w:val="19"/>
              </w:rPr>
              <w:t>10</w:t>
            </w:r>
          </w:p>
        </w:tc>
        <w:tc>
          <w:tcPr>
            <w:tcW w:type="dxa" w:w="2268"/>
            <w:vAlign w:val="center"/>
          </w:tcPr>
          <w:p>
            <w:r/>
            <w:r>
              <w:rPr>
                <w:sz w:val="19"/>
              </w:rPr>
              <w:t>Daily Git commits to GitHub remote; cloud backup (Google Drive) of design assets.</w:t>
            </w:r>
          </w:p>
        </w:tc>
        <w:tc>
          <w:tcPr>
            <w:tcW w:type="dxa" w:w="1871"/>
            <w:vAlign w:val="center"/>
          </w:tcPr>
          <w:p>
            <w:r/>
            <w:r>
              <w:rPr>
                <w:sz w:val="19"/>
              </w:rPr>
              <w:t>Restore from latest commit within 2 hours; replace laptop from departmental loan pool.</w:t>
            </w:r>
          </w:p>
        </w:tc>
      </w:tr>
      <w:tr>
        <w:tc>
          <w:tcPr>
            <w:tcW w:type="dxa" w:w="567"/>
            <w:vAlign w:val="center"/>
          </w:tcPr>
          <w:p>
            <w:r/>
            <w:r>
              <w:rPr>
                <w:sz w:val="19"/>
              </w:rPr>
              <w:t>R7</w:t>
            </w:r>
          </w:p>
        </w:tc>
        <w:tc>
          <w:tcPr>
            <w:tcW w:type="dxa" w:w="2381"/>
            <w:vAlign w:val="center"/>
          </w:tcPr>
          <w:p>
            <w:r/>
            <w:r>
              <w:rPr>
                <w:sz w:val="19"/>
              </w:rPr>
              <w:t>Budget overrun due to unforeseen software licence or hosting fees.</w:t>
            </w:r>
          </w:p>
        </w:tc>
        <w:tc>
          <w:tcPr>
            <w:tcW w:type="dxa" w:w="1134"/>
            <w:vAlign w:val="center"/>
          </w:tcPr>
          <w:p>
            <w:r/>
            <w:r>
              <w:rPr>
                <w:sz w:val="19"/>
              </w:rPr>
              <w:t>Financial</w:t>
            </w:r>
          </w:p>
        </w:tc>
        <w:tc>
          <w:tcPr>
            <w:tcW w:type="dxa" w:w="567"/>
            <w:vAlign w:val="center"/>
          </w:tcPr>
          <w:p>
            <w:r/>
            <w:r>
              <w:rPr>
                <w:sz w:val="19"/>
              </w:rPr>
              <w:t>3</w:t>
            </w:r>
          </w:p>
        </w:tc>
        <w:tc>
          <w:tcPr>
            <w:tcW w:type="dxa" w:w="567"/>
            <w:vAlign w:val="center"/>
          </w:tcPr>
          <w:p>
            <w:r/>
            <w:r>
              <w:rPr>
                <w:sz w:val="19"/>
              </w:rPr>
              <w:t>3</w:t>
            </w:r>
          </w:p>
        </w:tc>
        <w:tc>
          <w:tcPr>
            <w:tcW w:type="dxa" w:w="567"/>
            <w:vAlign w:val="center"/>
          </w:tcPr>
          <w:p>
            <w:r/>
            <w:r>
              <w:rPr>
                <w:sz w:val="19"/>
              </w:rPr>
              <w:t>9</w:t>
            </w:r>
          </w:p>
        </w:tc>
        <w:tc>
          <w:tcPr>
            <w:tcW w:type="dxa" w:w="2268"/>
            <w:vAlign w:val="center"/>
          </w:tcPr>
          <w:p>
            <w:r/>
            <w:r>
              <w:rPr>
                <w:sz w:val="19"/>
              </w:rPr>
              <w:t>15 % contingency included in budget (Section 7); prefer open-source tools.</w:t>
            </w:r>
          </w:p>
        </w:tc>
        <w:tc>
          <w:tcPr>
            <w:tcW w:type="dxa" w:w="1871"/>
            <w:vAlign w:val="center"/>
          </w:tcPr>
          <w:p>
            <w:r/>
            <w:r>
              <w:rPr>
                <w:sz w:val="19"/>
              </w:rPr>
              <w:t>Re-negotiate hosting annual plan; reduce non-essential paid services.</w:t>
            </w:r>
          </w:p>
        </w:tc>
      </w:tr>
      <w:tr>
        <w:tc>
          <w:tcPr>
            <w:tcW w:type="dxa" w:w="567"/>
            <w:vAlign w:val="center"/>
          </w:tcPr>
          <w:p>
            <w:r/>
            <w:r>
              <w:rPr>
                <w:sz w:val="19"/>
              </w:rPr>
              <w:t>R8</w:t>
            </w:r>
          </w:p>
        </w:tc>
        <w:tc>
          <w:tcPr>
            <w:tcW w:type="dxa" w:w="2381"/>
            <w:vAlign w:val="center"/>
          </w:tcPr>
          <w:p>
            <w:r/>
            <w:r>
              <w:rPr>
                <w:sz w:val="19"/>
              </w:rPr>
              <w:t>Integration failure of the digital certificate PDF library.</w:t>
            </w:r>
          </w:p>
        </w:tc>
        <w:tc>
          <w:tcPr>
            <w:tcW w:type="dxa" w:w="1134"/>
            <w:vAlign w:val="center"/>
          </w:tcPr>
          <w:p>
            <w:r/>
            <w:r>
              <w:rPr>
                <w:sz w:val="19"/>
              </w:rPr>
              <w:t>Technical</w:t>
            </w:r>
          </w:p>
        </w:tc>
        <w:tc>
          <w:tcPr>
            <w:tcW w:type="dxa" w:w="567"/>
            <w:vAlign w:val="center"/>
          </w:tcPr>
          <w:p>
            <w:r/>
            <w:r>
              <w:rPr>
                <w:sz w:val="19"/>
              </w:rPr>
              <w:t>2</w:t>
            </w:r>
          </w:p>
        </w:tc>
        <w:tc>
          <w:tcPr>
            <w:tcW w:type="dxa" w:w="567"/>
            <w:vAlign w:val="center"/>
          </w:tcPr>
          <w:p>
            <w:r/>
            <w:r>
              <w:rPr>
                <w:sz w:val="19"/>
              </w:rPr>
              <w:t>4</w:t>
            </w:r>
          </w:p>
        </w:tc>
        <w:tc>
          <w:tcPr>
            <w:tcW w:type="dxa" w:w="567"/>
            <w:vAlign w:val="center"/>
          </w:tcPr>
          <w:p>
            <w:r/>
            <w:r>
              <w:rPr>
                <w:sz w:val="19"/>
              </w:rPr>
              <w:t>8</w:t>
            </w:r>
          </w:p>
        </w:tc>
        <w:tc>
          <w:tcPr>
            <w:tcW w:type="dxa" w:w="2268"/>
            <w:vAlign w:val="center"/>
          </w:tcPr>
          <w:p>
            <w:r/>
            <w:r>
              <w:rPr>
                <w:sz w:val="19"/>
              </w:rPr>
              <w:t>Prototype TCPDF early in Task 3.5; maintain a fallback to DOMPDF.</w:t>
            </w:r>
          </w:p>
        </w:tc>
        <w:tc>
          <w:tcPr>
            <w:tcW w:type="dxa" w:w="1871"/>
            <w:vAlign w:val="center"/>
          </w:tcPr>
          <w:p>
            <w:r/>
            <w:r>
              <w:rPr>
                <w:sz w:val="19"/>
              </w:rPr>
              <w:t>Switch to alternative library (DOMPDF); reassign 2 buffer days from Task 4.3.</w:t>
            </w:r>
          </w:p>
        </w:tc>
      </w:tr>
    </w:tbl>
    <w:p>
      <w:pPr>
        <w:jc w:val="center"/>
      </w:pPr>
      <w:r>
        <w:rPr>
          <w:i/>
          <w:color w:val="0B3D91"/>
          <w:sz w:val="19"/>
        </w:rPr>
        <w:t>Table 5.1 – Risk Register (8 risks)</w:t>
      </w:r>
    </w:p>
    <w:p>
      <w:pPr>
        <w:pStyle w:val="Heading2"/>
      </w:pPr>
      <w:r>
        <w:rPr>
          <w:rFonts w:ascii="Calibri" w:hAnsi="Calibri"/>
          <w:color w:val="0B3D91"/>
        </w:rPr>
        <w:t>5.1 Risk Heat-Map Summary</w:t>
      </w:r>
    </w:p>
    <w:p>
      <w:pPr>
        <w:jc w:val="center"/>
      </w:pPr>
      <w:r>
        <w:drawing>
          <wp:inline xmlns:a="http://schemas.openxmlformats.org/drawingml/2006/main" xmlns:pic="http://schemas.openxmlformats.org/drawingml/2006/picture">
            <wp:extent cx="4680000" cy="3953377"/>
            <wp:docPr id="7" name="Picture 7"/>
            <wp:cNvGraphicFramePr>
              <a:graphicFrameLocks noChangeAspect="1"/>
            </wp:cNvGraphicFramePr>
            <a:graphic>
              <a:graphicData uri="http://schemas.openxmlformats.org/drawingml/2006/picture">
                <pic:pic>
                  <pic:nvPicPr>
                    <pic:cNvPr id="0" name="risk_heatmap.png"/>
                    <pic:cNvPicPr/>
                  </pic:nvPicPr>
                  <pic:blipFill>
                    <a:blip r:embed="rId15"/>
                    <a:stretch>
                      <a:fillRect/>
                    </a:stretch>
                  </pic:blipFill>
                  <pic:spPr>
                    <a:xfrm>
                      <a:off x="0" y="0"/>
                      <a:ext cx="4680000" cy="3953377"/>
                    </a:xfrm>
                    <a:prstGeom prst="rect"/>
                  </pic:spPr>
                </pic:pic>
              </a:graphicData>
            </a:graphic>
          </wp:inline>
        </w:drawing>
      </w:r>
    </w:p>
    <w:p>
      <w:pPr>
        <w:jc w:val="center"/>
      </w:pPr>
      <w:r>
        <w:rPr>
          <w:i/>
          <w:color w:val="0B3D91"/>
          <w:sz w:val="19"/>
        </w:rPr>
        <w:t>Figure 5.1 – Probability × Impact heat-map (all 8 registered risks plotted)</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shd w:val="clear" w:color="auto" w:fill="0B3D91"/>
            <w:vAlign w:val="center"/>
          </w:tcPr>
          <w:p>
            <w:r/>
            <w:r>
              <w:rPr>
                <w:b/>
                <w:color w:val="FFFFFF"/>
                <w:sz w:val="20"/>
              </w:rPr>
              <w:t>Score Band</w:t>
            </w:r>
          </w:p>
        </w:tc>
        <w:tc>
          <w:tcPr>
            <w:tcW w:type="dxa" w:w="2835"/>
            <w:shd w:val="clear" w:color="auto" w:fill="0B3D91"/>
            <w:vAlign w:val="center"/>
          </w:tcPr>
          <w:p>
            <w:r/>
            <w:r>
              <w:rPr>
                <w:b/>
                <w:color w:val="FFFFFF"/>
                <w:sz w:val="20"/>
              </w:rPr>
              <w:t>Risks</w:t>
            </w:r>
          </w:p>
        </w:tc>
        <w:tc>
          <w:tcPr>
            <w:tcW w:type="dxa" w:w="4535"/>
            <w:shd w:val="clear" w:color="auto" w:fill="0B3D91"/>
            <w:vAlign w:val="center"/>
          </w:tcPr>
          <w:p>
            <w:r/>
            <w:r>
              <w:rPr>
                <w:b/>
                <w:color w:val="FFFFFF"/>
                <w:sz w:val="20"/>
              </w:rPr>
              <w:t>Monitoring Cadence</w:t>
            </w:r>
          </w:p>
        </w:tc>
      </w:tr>
      <w:tr>
        <w:tc>
          <w:tcPr>
            <w:tcW w:type="dxa" w:w="2268"/>
            <w:vAlign w:val="center"/>
          </w:tcPr>
          <w:p>
            <w:r/>
            <w:r>
              <w:rPr>
                <w:sz w:val="19"/>
              </w:rPr>
              <w:t>High (15–25)</w:t>
            </w:r>
          </w:p>
        </w:tc>
        <w:tc>
          <w:tcPr>
            <w:tcW w:type="dxa" w:w="2835"/>
            <w:vAlign w:val="center"/>
          </w:tcPr>
          <w:p>
            <w:r/>
            <w:r>
              <w:rPr>
                <w:sz w:val="19"/>
              </w:rPr>
              <w:t>R1, R2, R3</w:t>
            </w:r>
          </w:p>
        </w:tc>
        <w:tc>
          <w:tcPr>
            <w:tcW w:type="dxa" w:w="4535"/>
            <w:vAlign w:val="center"/>
          </w:tcPr>
          <w:p>
            <w:r/>
            <w:r>
              <w:rPr>
                <w:sz w:val="19"/>
              </w:rPr>
              <w:t>Weekly monitoring by Project Manager; standing item on status meeting.</w:t>
            </w:r>
          </w:p>
        </w:tc>
      </w:tr>
      <w:tr>
        <w:tc>
          <w:tcPr>
            <w:tcW w:type="dxa" w:w="2268"/>
            <w:vAlign w:val="center"/>
          </w:tcPr>
          <w:p>
            <w:r/>
            <w:r>
              <w:rPr>
                <w:sz w:val="19"/>
              </w:rPr>
              <w:t>Medium (8–14)</w:t>
            </w:r>
          </w:p>
        </w:tc>
        <w:tc>
          <w:tcPr>
            <w:tcW w:type="dxa" w:w="2835"/>
            <w:vAlign w:val="center"/>
          </w:tcPr>
          <w:p>
            <w:r/>
            <w:r>
              <w:rPr>
                <w:sz w:val="19"/>
              </w:rPr>
              <w:t>R4, R5, R6, R7, R8</w:t>
            </w:r>
          </w:p>
        </w:tc>
        <w:tc>
          <w:tcPr>
            <w:tcW w:type="dxa" w:w="4535"/>
            <w:vAlign w:val="center"/>
          </w:tcPr>
          <w:p>
            <w:r/>
            <w:r>
              <w:rPr>
                <w:sz w:val="19"/>
              </w:rPr>
              <w:t>Bi-weekly review; owner assigned.</w:t>
            </w:r>
          </w:p>
        </w:tc>
      </w:tr>
      <w:tr>
        <w:tc>
          <w:tcPr>
            <w:tcW w:type="dxa" w:w="2268"/>
            <w:vAlign w:val="center"/>
          </w:tcPr>
          <w:p>
            <w:r/>
            <w:r>
              <w:rPr>
                <w:sz w:val="19"/>
              </w:rPr>
              <w:t>Low (1–7)</w:t>
            </w:r>
          </w:p>
        </w:tc>
        <w:tc>
          <w:tcPr>
            <w:tcW w:type="dxa" w:w="2835"/>
            <w:vAlign w:val="center"/>
          </w:tcPr>
          <w:p>
            <w:r/>
            <w:r>
              <w:rPr>
                <w:sz w:val="19"/>
              </w:rPr>
              <w:t>None currently</w:t>
            </w:r>
          </w:p>
        </w:tc>
        <w:tc>
          <w:tcPr>
            <w:tcW w:type="dxa" w:w="4535"/>
            <w:vAlign w:val="center"/>
          </w:tcPr>
          <w:p>
            <w:r/>
            <w:r>
              <w:rPr>
                <w:sz w:val="19"/>
              </w:rPr>
              <w:t>Monthly review.</w:t>
            </w:r>
          </w:p>
        </w:tc>
      </w:tr>
    </w:tbl>
    <w:p>
      <w:pPr>
        <w:jc w:val="center"/>
      </w:pPr>
      <w:r>
        <w:rPr>
          <w:i/>
          <w:color w:val="0B3D91"/>
          <w:sz w:val="19"/>
        </w:rPr>
        <w:t>Table 5.2 – Risk prioritisation heat-map</w:t>
      </w:r>
    </w:p>
    <w:p>
      <w:pPr>
        <w:pStyle w:val="Heading2"/>
      </w:pPr>
      <w:r>
        <w:rPr>
          <w:rFonts w:ascii="Calibri" w:hAnsi="Calibri"/>
          <w:color w:val="0B3D91"/>
        </w:rPr>
        <w:t>5.2 Risk Governance</w:t>
      </w:r>
    </w:p>
    <w:p>
      <w:pPr>
        <w:pStyle w:val="ListBullet"/>
      </w:pPr>
      <w:r>
        <w:t>The Project Manager (Jones Sepuru) owns the risk register and updates it weekly.</w:t>
      </w:r>
    </w:p>
    <w:p>
      <w:pPr>
        <w:pStyle w:val="ListBullet"/>
      </w:pPr>
      <w:r>
        <w:t>New risks identified during the project are added with the same P × I scoring model.</w:t>
      </w:r>
    </w:p>
    <w:p>
      <w:pPr>
        <w:pStyle w:val="ListBullet"/>
      </w:pPr>
      <w:r>
        <w:t>Any risk that materialises is logged as an Issue and tracked until closure.</w:t>
      </w:r>
    </w:p>
    <w:p>
      <w:r>
        <w:br w:type="page"/>
      </w:r>
    </w:p>
    <w:p>
      <w:pPr>
        <w:pStyle w:val="Heading1"/>
      </w:pPr>
      <w:r>
        <w:rPr>
          <w:rFonts w:ascii="Calibri" w:hAnsi="Calibri"/>
          <w:color w:val="0B3D91"/>
        </w:rPr>
        <w:t>6. Technical Feasibility</w:t>
      </w:r>
    </w:p>
    <w:p>
      <w:pPr>
        <w:jc w:val="center"/>
      </w:pPr>
      <w:r>
        <w:drawing>
          <wp:inline xmlns:a="http://schemas.openxmlformats.org/drawingml/2006/main" xmlns:pic="http://schemas.openxmlformats.org/drawingml/2006/picture">
            <wp:extent cx="5400000" cy="3028500"/>
            <wp:docPr id="8" name="Picture 8"/>
            <wp:cNvGraphicFramePr>
              <a:graphicFrameLocks noChangeAspect="1"/>
            </wp:cNvGraphicFramePr>
            <a:graphic>
              <a:graphicData uri="http://schemas.openxmlformats.org/drawingml/2006/picture">
                <pic:pic>
                  <pic:nvPicPr>
                    <pic:cNvPr id="0" name="server_tech.jpg"/>
                    <pic:cNvPicPr/>
                  </pic:nvPicPr>
                  <pic:blipFill>
                    <a:blip r:embed="rId16"/>
                    <a:stretch>
                      <a:fillRect/>
                    </a:stretch>
                  </pic:blipFill>
                  <pic:spPr>
                    <a:xfrm>
                      <a:off x="0" y="0"/>
                      <a:ext cx="5400000" cy="3028500"/>
                    </a:xfrm>
                    <a:prstGeom prst="rect"/>
                  </pic:spPr>
                </pic:pic>
              </a:graphicData>
            </a:graphic>
          </wp:inline>
        </w:drawing>
      </w:r>
    </w:p>
    <w:p>
      <w:pPr>
        <w:jc w:val="center"/>
      </w:pPr>
      <w:r>
        <w:rPr>
          <w:i/>
          <w:color w:val="0B3D91"/>
          <w:sz w:val="19"/>
        </w:rPr>
        <w:t>Figure 6.1 – 3-tier cloud-hosted architecture on shared cPanel infrastructure</w:t>
      </w:r>
    </w:p>
    <w:p>
      <w:r>
        <w:rPr>
          <w:b w:val="0"/>
          <w:i w:val="0"/>
          <w:color w:val="222222"/>
          <w:sz w:val="22"/>
        </w:rPr>
        <w:t>This section confirms that every hardware and software resource needed to deliver the MJSCYBER Security School Web App is available, costed and supported. Availability risks and their mitigations are explicitly addressed.</w:t>
      </w:r>
    </w:p>
    <w:p>
      <w:pPr>
        <w:pStyle w:val="Heading2"/>
      </w:pPr>
      <w:r>
        <w:rPr>
          <w:rFonts w:ascii="Calibri" w:hAnsi="Calibri"/>
          <w:color w:val="0B3D91"/>
        </w:rPr>
        <w:t>6.1 Hardware Resources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2268"/>
            <w:shd w:val="clear" w:color="auto" w:fill="0B3D91"/>
            <w:vAlign w:val="center"/>
          </w:tcPr>
          <w:p>
            <w:r/>
            <w:r>
              <w:rPr>
                <w:b/>
                <w:color w:val="FFFFFF"/>
                <w:sz w:val="20"/>
              </w:rPr>
              <w:t>Resource</w:t>
            </w:r>
          </w:p>
        </w:tc>
        <w:tc>
          <w:tcPr>
            <w:tcW w:type="dxa" w:w="2551"/>
            <w:shd w:val="clear" w:color="auto" w:fill="0B3D91"/>
            <w:vAlign w:val="center"/>
          </w:tcPr>
          <w:p>
            <w:r/>
            <w:r>
              <w:rPr>
                <w:b/>
                <w:color w:val="FFFFFF"/>
                <w:sz w:val="20"/>
              </w:rPr>
              <w:t>Specification</w:t>
            </w:r>
          </w:p>
        </w:tc>
        <w:tc>
          <w:tcPr>
            <w:tcW w:type="dxa" w:w="1587"/>
            <w:shd w:val="clear" w:color="auto" w:fill="0B3D91"/>
            <w:vAlign w:val="center"/>
          </w:tcPr>
          <w:p>
            <w:r/>
            <w:r>
              <w:rPr>
                <w:b/>
                <w:color w:val="FFFFFF"/>
                <w:sz w:val="20"/>
              </w:rPr>
              <w:t>Cost</w:t>
            </w:r>
          </w:p>
        </w:tc>
        <w:tc>
          <w:tcPr>
            <w:tcW w:type="dxa" w:w="1814"/>
            <w:shd w:val="clear" w:color="auto" w:fill="0B3D91"/>
            <w:vAlign w:val="center"/>
          </w:tcPr>
          <w:p>
            <w:r/>
            <w:r>
              <w:rPr>
                <w:b/>
                <w:color w:val="FFFFFF"/>
                <w:sz w:val="20"/>
              </w:rPr>
              <w:t>Availability</w:t>
            </w:r>
          </w:p>
        </w:tc>
        <w:tc>
          <w:tcPr>
            <w:tcW w:type="dxa" w:w="1701"/>
            <w:shd w:val="clear" w:color="auto" w:fill="0B3D91"/>
            <w:vAlign w:val="center"/>
          </w:tcPr>
          <w:p>
            <w:r/>
            <w:r>
              <w:rPr>
                <w:b/>
                <w:color w:val="FFFFFF"/>
                <w:sz w:val="20"/>
              </w:rPr>
              <w:t>Availability Risk / Mitigation</w:t>
            </w:r>
          </w:p>
        </w:tc>
      </w:tr>
      <w:tr>
        <w:tc>
          <w:tcPr>
            <w:tcW w:type="dxa" w:w="2268"/>
            <w:vAlign w:val="center"/>
          </w:tcPr>
          <w:p>
            <w:r/>
            <w:r>
              <w:rPr>
                <w:sz w:val="19"/>
              </w:rPr>
              <w:t>Developer Laptop × 2</w:t>
            </w:r>
          </w:p>
        </w:tc>
        <w:tc>
          <w:tcPr>
            <w:tcW w:type="dxa" w:w="2551"/>
            <w:vAlign w:val="center"/>
          </w:tcPr>
          <w:p>
            <w:r/>
            <w:r>
              <w:rPr>
                <w:sz w:val="19"/>
              </w:rPr>
              <w:t>Intel i5 / 8 GB RAM / 256 GB SSD</w:t>
            </w:r>
          </w:p>
        </w:tc>
        <w:tc>
          <w:tcPr>
            <w:tcW w:type="dxa" w:w="1587"/>
            <w:vAlign w:val="center"/>
          </w:tcPr>
          <w:p>
            <w:r/>
            <w:r>
              <w:rPr>
                <w:sz w:val="19"/>
              </w:rPr>
              <w:t>Owned by team</w:t>
            </w:r>
          </w:p>
        </w:tc>
        <w:tc>
          <w:tcPr>
            <w:tcW w:type="dxa" w:w="1814"/>
            <w:vAlign w:val="center"/>
          </w:tcPr>
          <w:p>
            <w:r/>
            <w:r>
              <w:rPr>
                <w:sz w:val="19"/>
              </w:rPr>
              <w:t>Available</w:t>
            </w:r>
          </w:p>
        </w:tc>
        <w:tc>
          <w:tcPr>
            <w:tcW w:type="dxa" w:w="1701"/>
            <w:vAlign w:val="center"/>
          </w:tcPr>
          <w:p>
            <w:r/>
            <w:r>
              <w:rPr>
                <w:sz w:val="19"/>
              </w:rPr>
              <w:t>Low</w:t>
            </w:r>
          </w:p>
        </w:tc>
      </w:tr>
      <w:tr>
        <w:tc>
          <w:tcPr>
            <w:tcW w:type="dxa" w:w="2268"/>
            <w:vAlign w:val="center"/>
          </w:tcPr>
          <w:p>
            <w:r/>
            <w:r>
              <w:rPr>
                <w:sz w:val="19"/>
              </w:rPr>
              <w:t>External HDD 1 TB</w:t>
            </w:r>
          </w:p>
        </w:tc>
        <w:tc>
          <w:tcPr>
            <w:tcW w:type="dxa" w:w="2551"/>
            <w:vAlign w:val="center"/>
          </w:tcPr>
          <w:p>
            <w:r/>
            <w:r>
              <w:rPr>
                <w:sz w:val="19"/>
              </w:rPr>
              <w:t>USB 3.0 backup drive</w:t>
            </w:r>
          </w:p>
        </w:tc>
        <w:tc>
          <w:tcPr>
            <w:tcW w:type="dxa" w:w="1587"/>
            <w:vAlign w:val="center"/>
          </w:tcPr>
          <w:p>
            <w:r/>
            <w:r>
              <w:rPr>
                <w:sz w:val="19"/>
              </w:rPr>
              <w:t>R 850 each</w:t>
            </w:r>
          </w:p>
        </w:tc>
        <w:tc>
          <w:tcPr>
            <w:tcW w:type="dxa" w:w="1814"/>
            <w:vAlign w:val="center"/>
          </w:tcPr>
          <w:p>
            <w:r/>
            <w:r>
              <w:rPr>
                <w:sz w:val="19"/>
              </w:rPr>
              <w:t>Purchase in week 1</w:t>
            </w:r>
          </w:p>
        </w:tc>
        <w:tc>
          <w:tcPr>
            <w:tcW w:type="dxa" w:w="1701"/>
            <w:vAlign w:val="center"/>
          </w:tcPr>
          <w:p>
            <w:r/>
            <w:r>
              <w:rPr>
                <w:sz w:val="19"/>
              </w:rPr>
              <w:t>Low</w:t>
            </w:r>
          </w:p>
        </w:tc>
      </w:tr>
      <w:tr>
        <w:tc>
          <w:tcPr>
            <w:tcW w:type="dxa" w:w="2268"/>
            <w:vAlign w:val="center"/>
          </w:tcPr>
          <w:p>
            <w:r/>
            <w:r>
              <w:rPr>
                <w:sz w:val="19"/>
              </w:rPr>
              <w:t>UPS (Uninterruptible PS)</w:t>
            </w:r>
          </w:p>
        </w:tc>
        <w:tc>
          <w:tcPr>
            <w:tcW w:type="dxa" w:w="2551"/>
            <w:vAlign w:val="center"/>
          </w:tcPr>
          <w:p>
            <w:r/>
            <w:r>
              <w:rPr>
                <w:sz w:val="19"/>
              </w:rPr>
              <w:t>650 VA line-interactive</w:t>
            </w:r>
          </w:p>
        </w:tc>
        <w:tc>
          <w:tcPr>
            <w:tcW w:type="dxa" w:w="1587"/>
            <w:vAlign w:val="center"/>
          </w:tcPr>
          <w:p>
            <w:r/>
            <w:r>
              <w:rPr>
                <w:sz w:val="19"/>
              </w:rPr>
              <w:t>R 1 200 each</w:t>
            </w:r>
          </w:p>
        </w:tc>
        <w:tc>
          <w:tcPr>
            <w:tcW w:type="dxa" w:w="1814"/>
            <w:vAlign w:val="center"/>
          </w:tcPr>
          <w:p>
            <w:r/>
            <w:r>
              <w:rPr>
                <w:sz w:val="19"/>
              </w:rPr>
              <w:t>Purchase in week 1</w:t>
            </w:r>
          </w:p>
        </w:tc>
        <w:tc>
          <w:tcPr>
            <w:tcW w:type="dxa" w:w="1701"/>
            <w:vAlign w:val="center"/>
          </w:tcPr>
          <w:p>
            <w:r/>
            <w:r>
              <w:rPr>
                <w:sz w:val="19"/>
              </w:rPr>
              <w:t>Addresses R1 (load-shedding)</w:t>
            </w:r>
          </w:p>
        </w:tc>
      </w:tr>
      <w:tr>
        <w:tc>
          <w:tcPr>
            <w:tcW w:type="dxa" w:w="2268"/>
            <w:vAlign w:val="center"/>
          </w:tcPr>
          <w:p>
            <w:r/>
            <w:r>
              <w:rPr>
                <w:sz w:val="19"/>
              </w:rPr>
              <w:t>Mobile 4G Router</w:t>
            </w:r>
          </w:p>
        </w:tc>
        <w:tc>
          <w:tcPr>
            <w:tcW w:type="dxa" w:w="2551"/>
            <w:vAlign w:val="center"/>
          </w:tcPr>
          <w:p>
            <w:r/>
            <w:r>
              <w:rPr>
                <w:sz w:val="19"/>
              </w:rPr>
              <w:t>LTE router + 50 GB data SIM</w:t>
            </w:r>
          </w:p>
        </w:tc>
        <w:tc>
          <w:tcPr>
            <w:tcW w:type="dxa" w:w="1587"/>
            <w:vAlign w:val="center"/>
          </w:tcPr>
          <w:p>
            <w:r/>
            <w:r>
              <w:rPr>
                <w:sz w:val="19"/>
              </w:rPr>
              <w:t>R 600 + R 299/m</w:t>
            </w:r>
          </w:p>
        </w:tc>
        <w:tc>
          <w:tcPr>
            <w:tcW w:type="dxa" w:w="1814"/>
            <w:vAlign w:val="center"/>
          </w:tcPr>
          <w:p>
            <w:r/>
            <w:r>
              <w:rPr>
                <w:sz w:val="19"/>
              </w:rPr>
              <w:t>Purchase in week 1</w:t>
            </w:r>
          </w:p>
        </w:tc>
        <w:tc>
          <w:tcPr>
            <w:tcW w:type="dxa" w:w="1701"/>
            <w:vAlign w:val="center"/>
          </w:tcPr>
          <w:p>
            <w:r/>
            <w:r>
              <w:rPr>
                <w:sz w:val="19"/>
              </w:rPr>
              <w:t>Addresses R1</w:t>
            </w:r>
          </w:p>
        </w:tc>
      </w:tr>
      <w:tr>
        <w:tc>
          <w:tcPr>
            <w:tcW w:type="dxa" w:w="2268"/>
            <w:vAlign w:val="center"/>
          </w:tcPr>
          <w:p>
            <w:r/>
            <w:r>
              <w:rPr>
                <w:sz w:val="19"/>
              </w:rPr>
              <w:t>Cloud Hosting (cPanel)</w:t>
            </w:r>
          </w:p>
        </w:tc>
        <w:tc>
          <w:tcPr>
            <w:tcW w:type="dxa" w:w="2551"/>
            <w:vAlign w:val="center"/>
          </w:tcPr>
          <w:p>
            <w:r/>
            <w:r>
              <w:rPr>
                <w:sz w:val="19"/>
              </w:rPr>
              <w:t>Afrihost Home Executive — 10 GB + DB</w:t>
            </w:r>
          </w:p>
        </w:tc>
        <w:tc>
          <w:tcPr>
            <w:tcW w:type="dxa" w:w="1587"/>
            <w:vAlign w:val="center"/>
          </w:tcPr>
          <w:p>
            <w:r/>
            <w:r>
              <w:rPr>
                <w:sz w:val="19"/>
              </w:rPr>
              <w:t>R 179 / month</w:t>
            </w:r>
          </w:p>
        </w:tc>
        <w:tc>
          <w:tcPr>
            <w:tcW w:type="dxa" w:w="1814"/>
            <w:vAlign w:val="center"/>
          </w:tcPr>
          <w:p>
            <w:r/>
            <w:r>
              <w:rPr>
                <w:sz w:val="19"/>
              </w:rPr>
              <w:t>Subscribe in week 2</w:t>
            </w:r>
          </w:p>
        </w:tc>
        <w:tc>
          <w:tcPr>
            <w:tcW w:type="dxa" w:w="1701"/>
            <w:vAlign w:val="center"/>
          </w:tcPr>
          <w:p>
            <w:r/>
            <w:r>
              <w:rPr>
                <w:sz w:val="19"/>
              </w:rPr>
              <w:t>Addresses R1, R5</w:t>
            </w:r>
          </w:p>
        </w:tc>
      </w:tr>
      <w:tr>
        <w:tc>
          <w:tcPr>
            <w:tcW w:type="dxa" w:w="2268"/>
            <w:vAlign w:val="center"/>
          </w:tcPr>
          <w:p>
            <w:r/>
            <w:r>
              <w:rPr>
                <w:sz w:val="19"/>
              </w:rPr>
              <w:t>Projector (for training)</w:t>
            </w:r>
          </w:p>
        </w:tc>
        <w:tc>
          <w:tcPr>
            <w:tcW w:type="dxa" w:w="2551"/>
            <w:vAlign w:val="center"/>
          </w:tcPr>
          <w:p>
            <w:r/>
            <w:r>
              <w:rPr>
                <w:sz w:val="19"/>
              </w:rPr>
              <w:t>Borrowed from campus lab</w:t>
            </w:r>
          </w:p>
        </w:tc>
        <w:tc>
          <w:tcPr>
            <w:tcW w:type="dxa" w:w="1587"/>
            <w:vAlign w:val="center"/>
          </w:tcPr>
          <w:p>
            <w:r/>
            <w:r>
              <w:rPr>
                <w:sz w:val="19"/>
              </w:rPr>
              <w:t>R 0</w:t>
            </w:r>
          </w:p>
        </w:tc>
        <w:tc>
          <w:tcPr>
            <w:tcW w:type="dxa" w:w="1814"/>
            <w:vAlign w:val="center"/>
          </w:tcPr>
          <w:p>
            <w:r/>
            <w:r>
              <w:rPr>
                <w:sz w:val="19"/>
              </w:rPr>
              <w:t>Reserved for M5</w:t>
            </w:r>
          </w:p>
        </w:tc>
        <w:tc>
          <w:tcPr>
            <w:tcW w:type="dxa" w:w="1701"/>
            <w:vAlign w:val="center"/>
          </w:tcPr>
          <w:p>
            <w:r/>
            <w:r>
              <w:rPr>
                <w:sz w:val="19"/>
              </w:rPr>
              <w:t>Low</w:t>
            </w:r>
          </w:p>
        </w:tc>
      </w:tr>
    </w:tbl>
    <w:p>
      <w:pPr>
        <w:jc w:val="center"/>
      </w:pPr>
      <w:r>
        <w:rPr>
          <w:i/>
          <w:color w:val="0B3D91"/>
          <w:sz w:val="19"/>
        </w:rPr>
        <w:t>Table 6.1 – Hardware feasibility matrix</w:t>
      </w:r>
    </w:p>
    <w:p>
      <w:pPr>
        <w:pStyle w:val="Heading2"/>
      </w:pPr>
      <w:r>
        <w:rPr>
          <w:rFonts w:ascii="Calibri" w:hAnsi="Calibri"/>
          <w:color w:val="0B3D91"/>
        </w:rPr>
        <w:t>6.2 Software Resources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2268"/>
            <w:shd w:val="clear" w:color="auto" w:fill="0B3D91"/>
            <w:vAlign w:val="center"/>
          </w:tcPr>
          <w:p>
            <w:r/>
            <w:r>
              <w:rPr>
                <w:b/>
                <w:color w:val="FFFFFF"/>
                <w:sz w:val="20"/>
              </w:rPr>
              <w:t>Software</w:t>
            </w:r>
          </w:p>
        </w:tc>
        <w:tc>
          <w:tcPr>
            <w:tcW w:type="dxa" w:w="2268"/>
            <w:shd w:val="clear" w:color="auto" w:fill="0B3D91"/>
            <w:vAlign w:val="center"/>
          </w:tcPr>
          <w:p>
            <w:r/>
            <w:r>
              <w:rPr>
                <w:b/>
                <w:color w:val="FFFFFF"/>
                <w:sz w:val="20"/>
              </w:rPr>
              <w:t>Purpose</w:t>
            </w:r>
          </w:p>
        </w:tc>
        <w:tc>
          <w:tcPr>
            <w:tcW w:type="dxa" w:w="1984"/>
            <w:shd w:val="clear" w:color="auto" w:fill="0B3D91"/>
            <w:vAlign w:val="center"/>
          </w:tcPr>
          <w:p>
            <w:r/>
            <w:r>
              <w:rPr>
                <w:b/>
                <w:color w:val="FFFFFF"/>
                <w:sz w:val="20"/>
              </w:rPr>
              <w:t>Licence / Cost</w:t>
            </w:r>
          </w:p>
        </w:tc>
        <w:tc>
          <w:tcPr>
            <w:tcW w:type="dxa" w:w="1701"/>
            <w:shd w:val="clear" w:color="auto" w:fill="0B3D91"/>
            <w:vAlign w:val="center"/>
          </w:tcPr>
          <w:p>
            <w:r/>
            <w:r>
              <w:rPr>
                <w:b/>
                <w:color w:val="FFFFFF"/>
                <w:sz w:val="20"/>
              </w:rPr>
              <w:t>Availability</w:t>
            </w:r>
          </w:p>
        </w:tc>
        <w:tc>
          <w:tcPr>
            <w:tcW w:type="dxa" w:w="1701"/>
            <w:shd w:val="clear" w:color="auto" w:fill="0B3D91"/>
            <w:vAlign w:val="center"/>
          </w:tcPr>
          <w:p>
            <w:r/>
            <w:r>
              <w:rPr>
                <w:b/>
                <w:color w:val="FFFFFF"/>
                <w:sz w:val="20"/>
              </w:rPr>
              <w:t>Risk / Mitigation</w:t>
            </w:r>
          </w:p>
        </w:tc>
      </w:tr>
      <w:tr>
        <w:tc>
          <w:tcPr>
            <w:tcW w:type="dxa" w:w="2268"/>
            <w:vAlign w:val="center"/>
          </w:tcPr>
          <w:p>
            <w:r/>
            <w:r>
              <w:rPr>
                <w:sz w:val="19"/>
              </w:rPr>
              <w:t>XAMPP (Apache, PHP 8, MySQL)</w:t>
            </w:r>
          </w:p>
        </w:tc>
        <w:tc>
          <w:tcPr>
            <w:tcW w:type="dxa" w:w="2268"/>
            <w:vAlign w:val="center"/>
          </w:tcPr>
          <w:p>
            <w:r/>
            <w:r>
              <w:rPr>
                <w:sz w:val="19"/>
              </w:rPr>
              <w:t>Local dev stack</w:t>
            </w:r>
          </w:p>
        </w:tc>
        <w:tc>
          <w:tcPr>
            <w:tcW w:type="dxa" w:w="1984"/>
            <w:vAlign w:val="center"/>
          </w:tcPr>
          <w:p>
            <w:r/>
            <w:r>
              <w:rPr>
                <w:sz w:val="19"/>
              </w:rPr>
              <w:t>Free (Open Source)</w:t>
            </w:r>
          </w:p>
        </w:tc>
        <w:tc>
          <w:tcPr>
            <w:tcW w:type="dxa" w:w="1701"/>
            <w:vAlign w:val="center"/>
          </w:tcPr>
          <w:p>
            <w:r/>
            <w:r>
              <w:rPr>
                <w:sz w:val="19"/>
              </w:rPr>
              <w:t>Downloadable</w:t>
            </w:r>
          </w:p>
        </w:tc>
        <w:tc>
          <w:tcPr>
            <w:tcW w:type="dxa" w:w="1701"/>
            <w:vAlign w:val="center"/>
          </w:tcPr>
          <w:p>
            <w:r/>
            <w:r>
              <w:rPr>
                <w:sz w:val="19"/>
              </w:rPr>
              <w:t>None</w:t>
            </w:r>
          </w:p>
        </w:tc>
      </w:tr>
      <w:tr>
        <w:tc>
          <w:tcPr>
            <w:tcW w:type="dxa" w:w="2268"/>
            <w:vAlign w:val="center"/>
          </w:tcPr>
          <w:p>
            <w:r/>
            <w:r>
              <w:rPr>
                <w:sz w:val="19"/>
              </w:rPr>
              <w:t>Visual Studio Code</w:t>
            </w:r>
          </w:p>
        </w:tc>
        <w:tc>
          <w:tcPr>
            <w:tcW w:type="dxa" w:w="2268"/>
            <w:vAlign w:val="center"/>
          </w:tcPr>
          <w:p>
            <w:r/>
            <w:r>
              <w:rPr>
                <w:sz w:val="19"/>
              </w:rPr>
              <w:t>IDE</w:t>
            </w:r>
          </w:p>
        </w:tc>
        <w:tc>
          <w:tcPr>
            <w:tcW w:type="dxa" w:w="1984"/>
            <w:vAlign w:val="center"/>
          </w:tcPr>
          <w:p>
            <w:r/>
            <w:r>
              <w:rPr>
                <w:sz w:val="19"/>
              </w:rPr>
              <w:t>Free</w:t>
            </w:r>
          </w:p>
        </w:tc>
        <w:tc>
          <w:tcPr>
            <w:tcW w:type="dxa" w:w="1701"/>
            <w:vAlign w:val="center"/>
          </w:tcPr>
          <w:p>
            <w:r/>
            <w:r>
              <w:rPr>
                <w:sz w:val="19"/>
              </w:rPr>
              <w:t>Downloadable</w:t>
            </w:r>
          </w:p>
        </w:tc>
        <w:tc>
          <w:tcPr>
            <w:tcW w:type="dxa" w:w="1701"/>
            <w:vAlign w:val="center"/>
          </w:tcPr>
          <w:p>
            <w:r/>
            <w:r>
              <w:rPr>
                <w:sz w:val="19"/>
              </w:rPr>
              <w:t>None</w:t>
            </w:r>
          </w:p>
        </w:tc>
      </w:tr>
      <w:tr>
        <w:tc>
          <w:tcPr>
            <w:tcW w:type="dxa" w:w="2268"/>
            <w:vAlign w:val="center"/>
          </w:tcPr>
          <w:p>
            <w:r/>
            <w:r>
              <w:rPr>
                <w:sz w:val="19"/>
              </w:rPr>
              <w:t>MySQL Workbench</w:t>
            </w:r>
          </w:p>
        </w:tc>
        <w:tc>
          <w:tcPr>
            <w:tcW w:type="dxa" w:w="2268"/>
            <w:vAlign w:val="center"/>
          </w:tcPr>
          <w:p>
            <w:r/>
            <w:r>
              <w:rPr>
                <w:sz w:val="19"/>
              </w:rPr>
              <w:t>DB design &amp; admin</w:t>
            </w:r>
          </w:p>
        </w:tc>
        <w:tc>
          <w:tcPr>
            <w:tcW w:type="dxa" w:w="1984"/>
            <w:vAlign w:val="center"/>
          </w:tcPr>
          <w:p>
            <w:r/>
            <w:r>
              <w:rPr>
                <w:sz w:val="19"/>
              </w:rPr>
              <w:t>Free</w:t>
            </w:r>
          </w:p>
        </w:tc>
        <w:tc>
          <w:tcPr>
            <w:tcW w:type="dxa" w:w="1701"/>
            <w:vAlign w:val="center"/>
          </w:tcPr>
          <w:p>
            <w:r/>
            <w:r>
              <w:rPr>
                <w:sz w:val="19"/>
              </w:rPr>
              <w:t>Downloadable</w:t>
            </w:r>
          </w:p>
        </w:tc>
        <w:tc>
          <w:tcPr>
            <w:tcW w:type="dxa" w:w="1701"/>
            <w:vAlign w:val="center"/>
          </w:tcPr>
          <w:p>
            <w:r/>
            <w:r>
              <w:rPr>
                <w:sz w:val="19"/>
              </w:rPr>
              <w:t>None</w:t>
            </w:r>
          </w:p>
        </w:tc>
      </w:tr>
      <w:tr>
        <w:tc>
          <w:tcPr>
            <w:tcW w:type="dxa" w:w="2268"/>
            <w:vAlign w:val="center"/>
          </w:tcPr>
          <w:p>
            <w:r/>
            <w:r>
              <w:rPr>
                <w:sz w:val="19"/>
              </w:rPr>
              <w:t>Figma (Starter)</w:t>
            </w:r>
          </w:p>
        </w:tc>
        <w:tc>
          <w:tcPr>
            <w:tcW w:type="dxa" w:w="2268"/>
            <w:vAlign w:val="center"/>
          </w:tcPr>
          <w:p>
            <w:r/>
            <w:r>
              <w:rPr>
                <w:sz w:val="19"/>
              </w:rPr>
              <w:t>UI/UX wireframes</w:t>
            </w:r>
          </w:p>
        </w:tc>
        <w:tc>
          <w:tcPr>
            <w:tcW w:type="dxa" w:w="1984"/>
            <w:vAlign w:val="center"/>
          </w:tcPr>
          <w:p>
            <w:r/>
            <w:r>
              <w:rPr>
                <w:sz w:val="19"/>
              </w:rPr>
              <w:t>Free tier</w:t>
            </w:r>
          </w:p>
        </w:tc>
        <w:tc>
          <w:tcPr>
            <w:tcW w:type="dxa" w:w="1701"/>
            <w:vAlign w:val="center"/>
          </w:tcPr>
          <w:p>
            <w:r/>
            <w:r>
              <w:rPr>
                <w:sz w:val="19"/>
              </w:rPr>
              <w:t>Web-based</w:t>
            </w:r>
          </w:p>
        </w:tc>
        <w:tc>
          <w:tcPr>
            <w:tcW w:type="dxa" w:w="1701"/>
            <w:vAlign w:val="center"/>
          </w:tcPr>
          <w:p>
            <w:r/>
            <w:r>
              <w:rPr>
                <w:sz w:val="19"/>
              </w:rPr>
              <w:t>None</w:t>
            </w:r>
          </w:p>
        </w:tc>
      </w:tr>
      <w:tr>
        <w:tc>
          <w:tcPr>
            <w:tcW w:type="dxa" w:w="2268"/>
            <w:vAlign w:val="center"/>
          </w:tcPr>
          <w:p>
            <w:r/>
            <w:r>
              <w:rPr>
                <w:sz w:val="19"/>
              </w:rPr>
              <w:t>draw.io / Lucidchart</w:t>
            </w:r>
          </w:p>
        </w:tc>
        <w:tc>
          <w:tcPr>
            <w:tcW w:type="dxa" w:w="2268"/>
            <w:vAlign w:val="center"/>
          </w:tcPr>
          <w:p>
            <w:r/>
            <w:r>
              <w:rPr>
                <w:sz w:val="19"/>
              </w:rPr>
              <w:t>UML diagrams</w:t>
            </w:r>
          </w:p>
        </w:tc>
        <w:tc>
          <w:tcPr>
            <w:tcW w:type="dxa" w:w="1984"/>
            <w:vAlign w:val="center"/>
          </w:tcPr>
          <w:p>
            <w:r/>
            <w:r>
              <w:rPr>
                <w:sz w:val="19"/>
              </w:rPr>
              <w:t>Free / Free tier</w:t>
            </w:r>
          </w:p>
        </w:tc>
        <w:tc>
          <w:tcPr>
            <w:tcW w:type="dxa" w:w="1701"/>
            <w:vAlign w:val="center"/>
          </w:tcPr>
          <w:p>
            <w:r/>
            <w:r>
              <w:rPr>
                <w:sz w:val="19"/>
              </w:rPr>
              <w:t>Web-based</w:t>
            </w:r>
          </w:p>
        </w:tc>
        <w:tc>
          <w:tcPr>
            <w:tcW w:type="dxa" w:w="1701"/>
            <w:vAlign w:val="center"/>
          </w:tcPr>
          <w:p>
            <w:r/>
            <w:r>
              <w:rPr>
                <w:sz w:val="19"/>
              </w:rPr>
              <w:t>None</w:t>
            </w:r>
          </w:p>
        </w:tc>
      </w:tr>
      <w:tr>
        <w:tc>
          <w:tcPr>
            <w:tcW w:type="dxa" w:w="2268"/>
            <w:vAlign w:val="center"/>
          </w:tcPr>
          <w:p>
            <w:r/>
            <w:r>
              <w:rPr>
                <w:sz w:val="19"/>
              </w:rPr>
              <w:t>GitHub</w:t>
            </w:r>
          </w:p>
        </w:tc>
        <w:tc>
          <w:tcPr>
            <w:tcW w:type="dxa" w:w="2268"/>
            <w:vAlign w:val="center"/>
          </w:tcPr>
          <w:p>
            <w:r/>
            <w:r>
              <w:rPr>
                <w:sz w:val="19"/>
              </w:rPr>
              <w:t>Version control &amp; CI</w:t>
            </w:r>
          </w:p>
        </w:tc>
        <w:tc>
          <w:tcPr>
            <w:tcW w:type="dxa" w:w="1984"/>
            <w:vAlign w:val="center"/>
          </w:tcPr>
          <w:p>
            <w:r/>
            <w:r>
              <w:rPr>
                <w:sz w:val="19"/>
              </w:rPr>
              <w:t>Free for students</w:t>
            </w:r>
          </w:p>
        </w:tc>
        <w:tc>
          <w:tcPr>
            <w:tcW w:type="dxa" w:w="1701"/>
            <w:vAlign w:val="center"/>
          </w:tcPr>
          <w:p>
            <w:r/>
            <w:r>
              <w:rPr>
                <w:sz w:val="19"/>
              </w:rPr>
              <w:t>Cloud</w:t>
            </w:r>
          </w:p>
        </w:tc>
        <w:tc>
          <w:tcPr>
            <w:tcW w:type="dxa" w:w="1701"/>
            <w:vAlign w:val="center"/>
          </w:tcPr>
          <w:p>
            <w:r/>
            <w:r>
              <w:rPr>
                <w:sz w:val="19"/>
              </w:rPr>
              <w:t>None</w:t>
            </w:r>
          </w:p>
        </w:tc>
      </w:tr>
      <w:tr>
        <w:tc>
          <w:tcPr>
            <w:tcW w:type="dxa" w:w="2268"/>
            <w:vAlign w:val="center"/>
          </w:tcPr>
          <w:p>
            <w:r/>
            <w:r>
              <w:rPr>
                <w:sz w:val="19"/>
              </w:rPr>
              <w:t>TCPDF + QRCode library</w:t>
            </w:r>
          </w:p>
        </w:tc>
        <w:tc>
          <w:tcPr>
            <w:tcW w:type="dxa" w:w="2268"/>
            <w:vAlign w:val="center"/>
          </w:tcPr>
          <w:p>
            <w:r/>
            <w:r>
              <w:rPr>
                <w:sz w:val="19"/>
              </w:rPr>
              <w:t>Digital certificates</w:t>
            </w:r>
          </w:p>
        </w:tc>
        <w:tc>
          <w:tcPr>
            <w:tcW w:type="dxa" w:w="1984"/>
            <w:vAlign w:val="center"/>
          </w:tcPr>
          <w:p>
            <w:r/>
            <w:r>
              <w:rPr>
                <w:sz w:val="19"/>
              </w:rPr>
              <w:t>Free (LGPL)</w:t>
            </w:r>
          </w:p>
        </w:tc>
        <w:tc>
          <w:tcPr>
            <w:tcW w:type="dxa" w:w="1701"/>
            <w:vAlign w:val="center"/>
          </w:tcPr>
          <w:p>
            <w:r/>
            <w:r>
              <w:rPr>
                <w:sz w:val="19"/>
              </w:rPr>
              <w:t>Composer pkg</w:t>
            </w:r>
          </w:p>
        </w:tc>
        <w:tc>
          <w:tcPr>
            <w:tcW w:type="dxa" w:w="1701"/>
            <w:vAlign w:val="center"/>
          </w:tcPr>
          <w:p>
            <w:r/>
            <w:r>
              <w:rPr>
                <w:sz w:val="19"/>
              </w:rPr>
              <w:t>Fallback: DOMPDF (R8)</w:t>
            </w:r>
          </w:p>
        </w:tc>
      </w:tr>
      <w:tr>
        <w:tc>
          <w:tcPr>
            <w:tcW w:type="dxa" w:w="2268"/>
            <w:vAlign w:val="center"/>
          </w:tcPr>
          <w:p>
            <w:r/>
            <w:r>
              <w:rPr>
                <w:sz w:val="19"/>
              </w:rPr>
              <w:t>Chart.js</w:t>
            </w:r>
          </w:p>
        </w:tc>
        <w:tc>
          <w:tcPr>
            <w:tcW w:type="dxa" w:w="2268"/>
            <w:vAlign w:val="center"/>
          </w:tcPr>
          <w:p>
            <w:r/>
            <w:r>
              <w:rPr>
                <w:sz w:val="19"/>
              </w:rPr>
              <w:t>Admin dashboard charts</w:t>
            </w:r>
          </w:p>
        </w:tc>
        <w:tc>
          <w:tcPr>
            <w:tcW w:type="dxa" w:w="1984"/>
            <w:vAlign w:val="center"/>
          </w:tcPr>
          <w:p>
            <w:r/>
            <w:r>
              <w:rPr>
                <w:sz w:val="19"/>
              </w:rPr>
              <w:t>Free</w:t>
            </w:r>
          </w:p>
        </w:tc>
        <w:tc>
          <w:tcPr>
            <w:tcW w:type="dxa" w:w="1701"/>
            <w:vAlign w:val="center"/>
          </w:tcPr>
          <w:p>
            <w:r/>
            <w:r>
              <w:rPr>
                <w:sz w:val="19"/>
              </w:rPr>
              <w:t>CDN</w:t>
            </w:r>
          </w:p>
        </w:tc>
        <w:tc>
          <w:tcPr>
            <w:tcW w:type="dxa" w:w="1701"/>
            <w:vAlign w:val="center"/>
          </w:tcPr>
          <w:p>
            <w:r/>
            <w:r>
              <w:rPr>
                <w:sz w:val="19"/>
              </w:rPr>
              <w:t>None</w:t>
            </w:r>
          </w:p>
        </w:tc>
      </w:tr>
      <w:tr>
        <w:tc>
          <w:tcPr>
            <w:tcW w:type="dxa" w:w="2268"/>
            <w:vAlign w:val="center"/>
          </w:tcPr>
          <w:p>
            <w:r/>
            <w:r>
              <w:rPr>
                <w:sz w:val="19"/>
              </w:rPr>
              <w:t>Let's Encrypt SSL</w:t>
            </w:r>
          </w:p>
        </w:tc>
        <w:tc>
          <w:tcPr>
            <w:tcW w:type="dxa" w:w="2268"/>
            <w:vAlign w:val="center"/>
          </w:tcPr>
          <w:p>
            <w:r/>
            <w:r>
              <w:rPr>
                <w:sz w:val="19"/>
              </w:rPr>
              <w:t>HTTPS certificate</w:t>
            </w:r>
          </w:p>
        </w:tc>
        <w:tc>
          <w:tcPr>
            <w:tcW w:type="dxa" w:w="1984"/>
            <w:vAlign w:val="center"/>
          </w:tcPr>
          <w:p>
            <w:r/>
            <w:r>
              <w:rPr>
                <w:sz w:val="19"/>
              </w:rPr>
              <w:t>Free</w:t>
            </w:r>
          </w:p>
        </w:tc>
        <w:tc>
          <w:tcPr>
            <w:tcW w:type="dxa" w:w="1701"/>
            <w:vAlign w:val="center"/>
          </w:tcPr>
          <w:p>
            <w:r/>
            <w:r>
              <w:rPr>
                <w:sz w:val="19"/>
              </w:rPr>
              <w:t>cPanel AutoSSL</w:t>
            </w:r>
          </w:p>
        </w:tc>
        <w:tc>
          <w:tcPr>
            <w:tcW w:type="dxa" w:w="1701"/>
            <w:vAlign w:val="center"/>
          </w:tcPr>
          <w:p>
            <w:r/>
            <w:r>
              <w:rPr>
                <w:sz w:val="19"/>
              </w:rPr>
              <w:t>None</w:t>
            </w:r>
          </w:p>
        </w:tc>
      </w:tr>
      <w:tr>
        <w:tc>
          <w:tcPr>
            <w:tcW w:type="dxa" w:w="2268"/>
            <w:vAlign w:val="center"/>
          </w:tcPr>
          <w:p>
            <w:r/>
            <w:r>
              <w:rPr>
                <w:sz w:val="19"/>
              </w:rPr>
              <w:t>PHPUnit + Postman</w:t>
            </w:r>
          </w:p>
        </w:tc>
        <w:tc>
          <w:tcPr>
            <w:tcW w:type="dxa" w:w="2268"/>
            <w:vAlign w:val="center"/>
          </w:tcPr>
          <w:p>
            <w:r/>
            <w:r>
              <w:rPr>
                <w:sz w:val="19"/>
              </w:rPr>
              <w:t>Testing</w:t>
            </w:r>
          </w:p>
        </w:tc>
        <w:tc>
          <w:tcPr>
            <w:tcW w:type="dxa" w:w="1984"/>
            <w:vAlign w:val="center"/>
          </w:tcPr>
          <w:p>
            <w:r/>
            <w:r>
              <w:rPr>
                <w:sz w:val="19"/>
              </w:rPr>
              <w:t>Free</w:t>
            </w:r>
          </w:p>
        </w:tc>
        <w:tc>
          <w:tcPr>
            <w:tcW w:type="dxa" w:w="1701"/>
            <w:vAlign w:val="center"/>
          </w:tcPr>
          <w:p>
            <w:r/>
            <w:r>
              <w:rPr>
                <w:sz w:val="19"/>
              </w:rPr>
              <w:t>Downloadable</w:t>
            </w:r>
          </w:p>
        </w:tc>
        <w:tc>
          <w:tcPr>
            <w:tcW w:type="dxa" w:w="1701"/>
            <w:vAlign w:val="center"/>
          </w:tcPr>
          <w:p>
            <w:r/>
            <w:r>
              <w:rPr>
                <w:sz w:val="19"/>
              </w:rPr>
              <w:t>None</w:t>
            </w:r>
          </w:p>
        </w:tc>
      </w:tr>
    </w:tbl>
    <w:p>
      <w:pPr>
        <w:jc w:val="center"/>
      </w:pPr>
      <w:r>
        <w:rPr>
          <w:i/>
          <w:color w:val="0B3D91"/>
          <w:sz w:val="19"/>
        </w:rPr>
        <w:t>Table 6.2 – Software feasibility matrix</w:t>
      </w:r>
    </w:p>
    <w:p>
      <w:pPr>
        <w:pStyle w:val="Heading2"/>
      </w:pPr>
      <w:r>
        <w:rPr>
          <w:rFonts w:ascii="Calibri" w:hAnsi="Calibri"/>
          <w:color w:val="0B3D91"/>
        </w:rPr>
        <w:t>6.3 Technical Skills Match</w:t>
      </w:r>
    </w:p>
    <w:tbl>
      <w:tblPr>
        <w:tblStyle w:val="LightGrid-Accent1"/>
        <w:tblW w:type="auto" w:w="0"/>
        <w:jc w:val="center"/>
        <w:tblLook w:firstColumn="1" w:firstRow="1" w:lastColumn="0" w:lastRow="0" w:noHBand="0" w:noVBand="1" w:val="04A0"/>
      </w:tblPr>
      <w:tblGrid>
        <w:gridCol w:w="3249"/>
        <w:gridCol w:w="3249"/>
        <w:gridCol w:w="3249"/>
      </w:tblGrid>
      <w:tr>
        <w:tc>
          <w:tcPr>
            <w:tcW w:type="dxa" w:w="2835"/>
            <w:shd w:val="clear" w:color="auto" w:fill="0B3D91"/>
            <w:vAlign w:val="center"/>
          </w:tcPr>
          <w:p>
            <w:r/>
            <w:r>
              <w:rPr>
                <w:b/>
                <w:color w:val="FFFFFF"/>
                <w:sz w:val="20"/>
              </w:rPr>
              <w:t>Skill</w:t>
            </w:r>
          </w:p>
        </w:tc>
        <w:tc>
          <w:tcPr>
            <w:tcW w:type="dxa" w:w="2268"/>
            <w:shd w:val="clear" w:color="auto" w:fill="0B3D91"/>
            <w:vAlign w:val="center"/>
          </w:tcPr>
          <w:p>
            <w:r/>
            <w:r>
              <w:rPr>
                <w:b/>
                <w:color w:val="FFFFFF"/>
                <w:sz w:val="20"/>
              </w:rPr>
              <w:t>Owner</w:t>
            </w:r>
          </w:p>
        </w:tc>
        <w:tc>
          <w:tcPr>
            <w:tcW w:type="dxa" w:w="4535"/>
            <w:shd w:val="clear" w:color="auto" w:fill="0B3D91"/>
            <w:vAlign w:val="center"/>
          </w:tcPr>
          <w:p>
            <w:r/>
            <w:r>
              <w:rPr>
                <w:b/>
                <w:color w:val="FFFFFF"/>
                <w:sz w:val="20"/>
              </w:rPr>
              <w:t>Proficiency / Justification</w:t>
            </w:r>
          </w:p>
        </w:tc>
      </w:tr>
      <w:tr>
        <w:tc>
          <w:tcPr>
            <w:tcW w:type="dxa" w:w="2835"/>
            <w:vAlign w:val="center"/>
          </w:tcPr>
          <w:p>
            <w:r/>
            <w:r>
              <w:rPr>
                <w:sz w:val="19"/>
              </w:rPr>
              <w:t>PHP (OOP) &amp; MySQL</w:t>
            </w:r>
          </w:p>
        </w:tc>
        <w:tc>
          <w:tcPr>
            <w:tcW w:type="dxa" w:w="2268"/>
            <w:vAlign w:val="center"/>
          </w:tcPr>
          <w:p>
            <w:r/>
            <w:r>
              <w:rPr>
                <w:sz w:val="19"/>
              </w:rPr>
              <w:t>Jones Sepuru</w:t>
            </w:r>
          </w:p>
        </w:tc>
        <w:tc>
          <w:tcPr>
            <w:tcW w:type="dxa" w:w="4535"/>
            <w:vAlign w:val="center"/>
          </w:tcPr>
          <w:p>
            <w:r/>
            <w:r>
              <w:rPr>
                <w:sz w:val="19"/>
              </w:rPr>
              <w:t>Strong – completed Web Dev III with distinction.</w:t>
            </w:r>
          </w:p>
        </w:tc>
      </w:tr>
      <w:tr>
        <w:tc>
          <w:tcPr>
            <w:tcW w:type="dxa" w:w="2835"/>
            <w:vAlign w:val="center"/>
          </w:tcPr>
          <w:p>
            <w:r/>
            <w:r>
              <w:rPr>
                <w:sz w:val="19"/>
              </w:rPr>
              <w:t>HTML/CSS/JS &amp; UI/UX</w:t>
            </w:r>
          </w:p>
        </w:tc>
        <w:tc>
          <w:tcPr>
            <w:tcW w:type="dxa" w:w="2268"/>
            <w:vAlign w:val="center"/>
          </w:tcPr>
          <w:p>
            <w:r/>
            <w:r>
              <w:rPr>
                <w:sz w:val="19"/>
              </w:rPr>
              <w:t>Khumela Sendelani</w:t>
            </w:r>
          </w:p>
        </w:tc>
        <w:tc>
          <w:tcPr>
            <w:tcW w:type="dxa" w:w="4535"/>
            <w:vAlign w:val="center"/>
          </w:tcPr>
          <w:p>
            <w:r/>
            <w:r>
              <w:rPr>
                <w:sz w:val="19"/>
              </w:rPr>
              <w:t>Strong – completed Interactive Design III.</w:t>
            </w:r>
          </w:p>
        </w:tc>
      </w:tr>
      <w:tr>
        <w:tc>
          <w:tcPr>
            <w:tcW w:type="dxa" w:w="2835"/>
            <w:vAlign w:val="center"/>
          </w:tcPr>
          <w:p>
            <w:r/>
            <w:r>
              <w:rPr>
                <w:sz w:val="19"/>
              </w:rPr>
              <w:t>Database Design</w:t>
            </w:r>
          </w:p>
        </w:tc>
        <w:tc>
          <w:tcPr>
            <w:tcW w:type="dxa" w:w="2268"/>
            <w:vAlign w:val="center"/>
          </w:tcPr>
          <w:p>
            <w:r/>
            <w:r>
              <w:rPr>
                <w:sz w:val="19"/>
              </w:rPr>
              <w:t>Jones Sepuru</w:t>
            </w:r>
          </w:p>
        </w:tc>
        <w:tc>
          <w:tcPr>
            <w:tcW w:type="dxa" w:w="4535"/>
            <w:vAlign w:val="center"/>
          </w:tcPr>
          <w:p>
            <w:r/>
            <w:r>
              <w:rPr>
                <w:sz w:val="19"/>
              </w:rPr>
              <w:t>Strong – 2 years SQL coursework + personal projects.</w:t>
            </w:r>
          </w:p>
        </w:tc>
      </w:tr>
      <w:tr>
        <w:tc>
          <w:tcPr>
            <w:tcW w:type="dxa" w:w="2835"/>
            <w:vAlign w:val="center"/>
          </w:tcPr>
          <w:p>
            <w:r/>
            <w:r>
              <w:rPr>
                <w:sz w:val="19"/>
              </w:rPr>
              <w:t>Project Management</w:t>
            </w:r>
          </w:p>
        </w:tc>
        <w:tc>
          <w:tcPr>
            <w:tcW w:type="dxa" w:w="2268"/>
            <w:vAlign w:val="center"/>
          </w:tcPr>
          <w:p>
            <w:r/>
            <w:r>
              <w:rPr>
                <w:sz w:val="19"/>
              </w:rPr>
              <w:t>Jones Sepuru</w:t>
            </w:r>
          </w:p>
        </w:tc>
        <w:tc>
          <w:tcPr>
            <w:tcW w:type="dxa" w:w="4535"/>
            <w:vAlign w:val="center"/>
          </w:tcPr>
          <w:p>
            <w:r/>
            <w:r>
              <w:rPr>
                <w:sz w:val="19"/>
              </w:rPr>
              <w:t>Moderate – supported by lecturer mentorship.</w:t>
            </w:r>
          </w:p>
        </w:tc>
      </w:tr>
      <w:tr>
        <w:tc>
          <w:tcPr>
            <w:tcW w:type="dxa" w:w="2835"/>
            <w:vAlign w:val="center"/>
          </w:tcPr>
          <w:p>
            <w:r/>
            <w:r>
              <w:rPr>
                <w:sz w:val="19"/>
              </w:rPr>
              <w:t>Technical Writing</w:t>
            </w:r>
          </w:p>
        </w:tc>
        <w:tc>
          <w:tcPr>
            <w:tcW w:type="dxa" w:w="2268"/>
            <w:vAlign w:val="center"/>
          </w:tcPr>
          <w:p>
            <w:r/>
            <w:r>
              <w:rPr>
                <w:sz w:val="19"/>
              </w:rPr>
              <w:t>Khumela Sendelani</w:t>
            </w:r>
          </w:p>
        </w:tc>
        <w:tc>
          <w:tcPr>
            <w:tcW w:type="dxa" w:w="4535"/>
            <w:vAlign w:val="center"/>
          </w:tcPr>
          <w:p>
            <w:r/>
            <w:r>
              <w:rPr>
                <w:sz w:val="19"/>
              </w:rPr>
              <w:t>Strong – acts as documentation lead.</w:t>
            </w:r>
          </w:p>
        </w:tc>
      </w:tr>
    </w:tbl>
    <w:p>
      <w:pPr>
        <w:jc w:val="center"/>
      </w:pPr>
      <w:r>
        <w:rPr>
          <w:i/>
          <w:color w:val="0B3D91"/>
          <w:sz w:val="19"/>
        </w:rPr>
        <w:t>Table 6.3 – Team skills vs project requirements</w:t>
      </w:r>
    </w:p>
    <w:p>
      <w:pPr>
        <w:pStyle w:val="Heading2"/>
      </w:pPr>
      <w:r>
        <w:rPr>
          <w:rFonts w:ascii="Calibri" w:hAnsi="Calibri"/>
          <w:color w:val="0B3D91"/>
        </w:rPr>
        <w:t>6.4 Feasibility Conclusion</w:t>
      </w:r>
    </w:p>
    <w:p>
      <w:r>
        <w:rPr>
          <w:b w:val="0"/>
          <w:i w:val="0"/>
          <w:color w:val="222222"/>
          <w:sz w:val="22"/>
        </w:rPr>
        <w:t>All required hardware is either owned or affordable within the budget; all required software is open-source or free-tier; and the team's skills map directly to every technical requirement. The project is therefore technically feasible.</w:t>
      </w:r>
    </w:p>
    <w:p>
      <w:r>
        <w:br w:type="page"/>
      </w:r>
    </w:p>
    <w:p>
      <w:pPr>
        <w:pStyle w:val="Heading1"/>
      </w:pPr>
      <w:r>
        <w:rPr>
          <w:rFonts w:ascii="Calibri" w:hAnsi="Calibri"/>
          <w:color w:val="0B3D91"/>
        </w:rPr>
        <w:t>7. Economic Feasibility</w:t>
      </w:r>
    </w:p>
    <w:p>
      <w:pPr>
        <w:jc w:val="center"/>
      </w:pPr>
      <w:r>
        <w:drawing>
          <wp:inline xmlns:a="http://schemas.openxmlformats.org/drawingml/2006/main" xmlns:pic="http://schemas.openxmlformats.org/drawingml/2006/picture">
            <wp:extent cx="4680000" cy="4993370"/>
            <wp:docPr id="9" name="Picture 9"/>
            <wp:cNvGraphicFramePr>
              <a:graphicFrameLocks noChangeAspect="1"/>
            </wp:cNvGraphicFramePr>
            <a:graphic>
              <a:graphicData uri="http://schemas.openxmlformats.org/drawingml/2006/picture">
                <pic:pic>
                  <pic:nvPicPr>
                    <pic:cNvPr id="0" name="cost_pie.png"/>
                    <pic:cNvPicPr/>
                  </pic:nvPicPr>
                  <pic:blipFill>
                    <a:blip r:embed="rId17"/>
                    <a:stretch>
                      <a:fillRect/>
                    </a:stretch>
                  </pic:blipFill>
                  <pic:spPr>
                    <a:xfrm>
                      <a:off x="0" y="0"/>
                      <a:ext cx="4680000" cy="4993370"/>
                    </a:xfrm>
                    <a:prstGeom prst="rect"/>
                  </pic:spPr>
                </pic:pic>
              </a:graphicData>
            </a:graphic>
          </wp:inline>
        </w:drawing>
      </w:r>
    </w:p>
    <w:p>
      <w:pPr>
        <w:jc w:val="center"/>
      </w:pPr>
      <w:r>
        <w:rPr>
          <w:i/>
          <w:color w:val="0B3D91"/>
          <w:sz w:val="19"/>
        </w:rPr>
        <w:t>Figure 7.1 – Project budget breakdown (Total R 84 500)</w:t>
      </w:r>
    </w:p>
    <w:p>
      <w:r>
        <w:rPr>
          <w:b w:val="0"/>
          <w:i w:val="0"/>
          <w:color w:val="222222"/>
          <w:sz w:val="22"/>
        </w:rPr>
        <w:t>The table below lists every project activity, the responsible person, the time required, the tariff (hourly rate) applied, and the computed cost. Non-labour costs (hardware, hosting, contingency) are presented separately.</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3118"/>
            <w:shd w:val="clear" w:color="auto" w:fill="0B3D91"/>
            <w:vAlign w:val="center"/>
          </w:tcPr>
          <w:p>
            <w:r/>
            <w:r>
              <w:rPr>
                <w:b/>
                <w:color w:val="FFFFFF"/>
                <w:sz w:val="20"/>
              </w:rPr>
              <w:t>Activity</w:t>
            </w:r>
          </w:p>
        </w:tc>
        <w:tc>
          <w:tcPr>
            <w:tcW w:type="dxa" w:w="1984"/>
            <w:shd w:val="clear" w:color="auto" w:fill="0B3D91"/>
            <w:vAlign w:val="center"/>
          </w:tcPr>
          <w:p>
            <w:r/>
            <w:r>
              <w:rPr>
                <w:b/>
                <w:color w:val="FFFFFF"/>
                <w:sz w:val="20"/>
              </w:rPr>
              <w:t>Responsible</w:t>
            </w:r>
          </w:p>
        </w:tc>
        <w:tc>
          <w:tcPr>
            <w:tcW w:type="dxa" w:w="1134"/>
            <w:shd w:val="clear" w:color="auto" w:fill="0B3D91"/>
            <w:vAlign w:val="center"/>
          </w:tcPr>
          <w:p>
            <w:r/>
            <w:r>
              <w:rPr>
                <w:b/>
                <w:color w:val="FFFFFF"/>
                <w:sz w:val="20"/>
              </w:rPr>
              <w:t>Time</w:t>
            </w:r>
          </w:p>
        </w:tc>
        <w:tc>
          <w:tcPr>
            <w:tcW w:type="dxa" w:w="1701"/>
            <w:shd w:val="clear" w:color="auto" w:fill="0B3D91"/>
            <w:vAlign w:val="center"/>
          </w:tcPr>
          <w:p>
            <w:r/>
            <w:r>
              <w:rPr>
                <w:b/>
                <w:color w:val="FFFFFF"/>
                <w:sz w:val="20"/>
              </w:rPr>
              <w:t>Tariff (ZAR/h)</w:t>
            </w:r>
          </w:p>
        </w:tc>
        <w:tc>
          <w:tcPr>
            <w:tcW w:type="dxa" w:w="1701"/>
            <w:shd w:val="clear" w:color="auto" w:fill="0B3D91"/>
            <w:vAlign w:val="center"/>
          </w:tcPr>
          <w:p>
            <w:r/>
            <w:r>
              <w:rPr>
                <w:b/>
                <w:color w:val="FFFFFF"/>
                <w:sz w:val="20"/>
              </w:rPr>
              <w:t>Cost (ZAR)</w:t>
            </w:r>
          </w:p>
        </w:tc>
      </w:tr>
      <w:tr>
        <w:tc>
          <w:tcPr>
            <w:tcW w:type="dxa" w:w="3118"/>
            <w:vAlign w:val="center"/>
          </w:tcPr>
          <w:p>
            <w:r/>
            <w:r>
              <w:rPr>
                <w:sz w:val="19"/>
              </w:rPr>
              <w:t>Kick-off &amp; Requirements</w:t>
            </w:r>
          </w:p>
        </w:tc>
        <w:tc>
          <w:tcPr>
            <w:tcW w:type="dxa" w:w="1984"/>
            <w:vAlign w:val="center"/>
          </w:tcPr>
          <w:p>
            <w:r/>
            <w:r>
              <w:rPr>
                <w:sz w:val="19"/>
              </w:rPr>
              <w:t>Both</w:t>
            </w:r>
          </w:p>
        </w:tc>
        <w:tc>
          <w:tcPr>
            <w:tcW w:type="dxa" w:w="1134"/>
            <w:vAlign w:val="center"/>
          </w:tcPr>
          <w:p>
            <w:r/>
            <w:r>
              <w:rPr>
                <w:sz w:val="19"/>
              </w:rPr>
              <w:t>40 h</w:t>
            </w:r>
          </w:p>
        </w:tc>
        <w:tc>
          <w:tcPr>
            <w:tcW w:type="dxa" w:w="1701"/>
            <w:vAlign w:val="center"/>
          </w:tcPr>
          <w:p>
            <w:r/>
            <w:r>
              <w:rPr>
                <w:sz w:val="19"/>
              </w:rPr>
              <w:t>R 150</w:t>
            </w:r>
          </w:p>
        </w:tc>
        <w:tc>
          <w:tcPr>
            <w:tcW w:type="dxa" w:w="1701"/>
            <w:vAlign w:val="center"/>
          </w:tcPr>
          <w:p>
            <w:r/>
            <w:r>
              <w:rPr>
                <w:sz w:val="19"/>
              </w:rPr>
              <w:t>R 6 000</w:t>
            </w:r>
          </w:p>
        </w:tc>
      </w:tr>
      <w:tr>
        <w:tc>
          <w:tcPr>
            <w:tcW w:type="dxa" w:w="3118"/>
            <w:vAlign w:val="center"/>
          </w:tcPr>
          <w:p>
            <w:r/>
            <w:r>
              <w:rPr>
                <w:sz w:val="19"/>
              </w:rPr>
              <w:t>Analysis &amp; Design</w:t>
            </w:r>
          </w:p>
        </w:tc>
        <w:tc>
          <w:tcPr>
            <w:tcW w:type="dxa" w:w="1984"/>
            <w:vAlign w:val="center"/>
          </w:tcPr>
          <w:p>
            <w:r/>
            <w:r>
              <w:rPr>
                <w:sz w:val="19"/>
              </w:rPr>
              <w:t>Both</w:t>
            </w:r>
          </w:p>
        </w:tc>
        <w:tc>
          <w:tcPr>
            <w:tcW w:type="dxa" w:w="1134"/>
            <w:vAlign w:val="center"/>
          </w:tcPr>
          <w:p>
            <w:r/>
            <w:r>
              <w:rPr>
                <w:sz w:val="19"/>
              </w:rPr>
              <w:t>80 h</w:t>
            </w:r>
          </w:p>
        </w:tc>
        <w:tc>
          <w:tcPr>
            <w:tcW w:type="dxa" w:w="1701"/>
            <w:vAlign w:val="center"/>
          </w:tcPr>
          <w:p>
            <w:r/>
            <w:r>
              <w:rPr>
                <w:sz w:val="19"/>
              </w:rPr>
              <w:t>R 150</w:t>
            </w:r>
          </w:p>
        </w:tc>
        <w:tc>
          <w:tcPr>
            <w:tcW w:type="dxa" w:w="1701"/>
            <w:vAlign w:val="center"/>
          </w:tcPr>
          <w:p>
            <w:r/>
            <w:r>
              <w:rPr>
                <w:sz w:val="19"/>
              </w:rPr>
              <w:t>R 12 000</w:t>
            </w:r>
          </w:p>
        </w:tc>
      </w:tr>
      <w:tr>
        <w:tc>
          <w:tcPr>
            <w:tcW w:type="dxa" w:w="3118"/>
            <w:vAlign w:val="center"/>
          </w:tcPr>
          <w:p>
            <w:r/>
            <w:r>
              <w:rPr>
                <w:sz w:val="19"/>
              </w:rPr>
              <w:t>Auth &amp; Enrolment Dev</w:t>
            </w:r>
          </w:p>
        </w:tc>
        <w:tc>
          <w:tcPr>
            <w:tcW w:type="dxa" w:w="1984"/>
            <w:vAlign w:val="center"/>
          </w:tcPr>
          <w:p>
            <w:r/>
            <w:r>
              <w:rPr>
                <w:sz w:val="19"/>
              </w:rPr>
              <w:t>Jones</w:t>
            </w:r>
          </w:p>
        </w:tc>
        <w:tc>
          <w:tcPr>
            <w:tcW w:type="dxa" w:w="1134"/>
            <w:vAlign w:val="center"/>
          </w:tcPr>
          <w:p>
            <w:r/>
            <w:r>
              <w:rPr>
                <w:sz w:val="19"/>
              </w:rPr>
              <w:t>60 h</w:t>
            </w:r>
          </w:p>
        </w:tc>
        <w:tc>
          <w:tcPr>
            <w:tcW w:type="dxa" w:w="1701"/>
            <w:vAlign w:val="center"/>
          </w:tcPr>
          <w:p>
            <w:r/>
            <w:r>
              <w:rPr>
                <w:sz w:val="19"/>
              </w:rPr>
              <w:t>R 170</w:t>
            </w:r>
          </w:p>
        </w:tc>
        <w:tc>
          <w:tcPr>
            <w:tcW w:type="dxa" w:w="1701"/>
            <w:vAlign w:val="center"/>
          </w:tcPr>
          <w:p>
            <w:r/>
            <w:r>
              <w:rPr>
                <w:sz w:val="19"/>
              </w:rPr>
              <w:t>R 10 200</w:t>
            </w:r>
          </w:p>
        </w:tc>
      </w:tr>
      <w:tr>
        <w:tc>
          <w:tcPr>
            <w:tcW w:type="dxa" w:w="3118"/>
            <w:vAlign w:val="center"/>
          </w:tcPr>
          <w:p>
            <w:r/>
            <w:r>
              <w:rPr>
                <w:sz w:val="19"/>
              </w:rPr>
              <w:t>Grading &amp; Certification Dev</w:t>
            </w:r>
          </w:p>
        </w:tc>
        <w:tc>
          <w:tcPr>
            <w:tcW w:type="dxa" w:w="1984"/>
            <w:vAlign w:val="center"/>
          </w:tcPr>
          <w:p>
            <w:r/>
            <w:r>
              <w:rPr>
                <w:sz w:val="19"/>
              </w:rPr>
              <w:t>Jones+Khumela</w:t>
            </w:r>
          </w:p>
        </w:tc>
        <w:tc>
          <w:tcPr>
            <w:tcW w:type="dxa" w:w="1134"/>
            <w:vAlign w:val="center"/>
          </w:tcPr>
          <w:p>
            <w:r/>
            <w:r>
              <w:rPr>
                <w:sz w:val="19"/>
              </w:rPr>
              <w:t>80 h</w:t>
            </w:r>
          </w:p>
        </w:tc>
        <w:tc>
          <w:tcPr>
            <w:tcW w:type="dxa" w:w="1701"/>
            <w:vAlign w:val="center"/>
          </w:tcPr>
          <w:p>
            <w:r/>
            <w:r>
              <w:rPr>
                <w:sz w:val="19"/>
              </w:rPr>
              <w:t>R 170</w:t>
            </w:r>
          </w:p>
        </w:tc>
        <w:tc>
          <w:tcPr>
            <w:tcW w:type="dxa" w:w="1701"/>
            <w:vAlign w:val="center"/>
          </w:tcPr>
          <w:p>
            <w:r/>
            <w:r>
              <w:rPr>
                <w:sz w:val="19"/>
              </w:rPr>
              <w:t>R 13 600</w:t>
            </w:r>
          </w:p>
        </w:tc>
      </w:tr>
      <w:tr>
        <w:tc>
          <w:tcPr>
            <w:tcW w:type="dxa" w:w="3118"/>
            <w:vAlign w:val="center"/>
          </w:tcPr>
          <w:p>
            <w:r/>
            <w:r>
              <w:rPr>
                <w:sz w:val="19"/>
              </w:rPr>
              <w:t>VIP/Scheduling &amp; Dashboard Dev</w:t>
            </w:r>
          </w:p>
        </w:tc>
        <w:tc>
          <w:tcPr>
            <w:tcW w:type="dxa" w:w="1984"/>
            <w:vAlign w:val="center"/>
          </w:tcPr>
          <w:p>
            <w:r/>
            <w:r>
              <w:rPr>
                <w:sz w:val="19"/>
              </w:rPr>
              <w:t>Khumela</w:t>
            </w:r>
          </w:p>
        </w:tc>
        <w:tc>
          <w:tcPr>
            <w:tcW w:type="dxa" w:w="1134"/>
            <w:vAlign w:val="center"/>
          </w:tcPr>
          <w:p>
            <w:r/>
            <w:r>
              <w:rPr>
                <w:sz w:val="19"/>
              </w:rPr>
              <w:t>60 h</w:t>
            </w:r>
          </w:p>
        </w:tc>
        <w:tc>
          <w:tcPr>
            <w:tcW w:type="dxa" w:w="1701"/>
            <w:vAlign w:val="center"/>
          </w:tcPr>
          <w:p>
            <w:r/>
            <w:r>
              <w:rPr>
                <w:sz w:val="19"/>
              </w:rPr>
              <w:t>R 170</w:t>
            </w:r>
          </w:p>
        </w:tc>
        <w:tc>
          <w:tcPr>
            <w:tcW w:type="dxa" w:w="1701"/>
            <w:vAlign w:val="center"/>
          </w:tcPr>
          <w:p>
            <w:r/>
            <w:r>
              <w:rPr>
                <w:sz w:val="19"/>
              </w:rPr>
              <w:t>R 10 200</w:t>
            </w:r>
          </w:p>
        </w:tc>
      </w:tr>
      <w:tr>
        <w:tc>
          <w:tcPr>
            <w:tcW w:type="dxa" w:w="3118"/>
            <w:vAlign w:val="center"/>
          </w:tcPr>
          <w:p>
            <w:r/>
            <w:r>
              <w:rPr>
                <w:sz w:val="19"/>
              </w:rPr>
              <w:t>Testing (Unit, Integ, UAT)</w:t>
            </w:r>
          </w:p>
        </w:tc>
        <w:tc>
          <w:tcPr>
            <w:tcW w:type="dxa" w:w="1984"/>
            <w:vAlign w:val="center"/>
          </w:tcPr>
          <w:p>
            <w:r/>
            <w:r>
              <w:rPr>
                <w:sz w:val="19"/>
              </w:rPr>
              <w:t>Both</w:t>
            </w:r>
          </w:p>
        </w:tc>
        <w:tc>
          <w:tcPr>
            <w:tcW w:type="dxa" w:w="1134"/>
            <w:vAlign w:val="center"/>
          </w:tcPr>
          <w:p>
            <w:r/>
            <w:r>
              <w:rPr>
                <w:sz w:val="19"/>
              </w:rPr>
              <w:t>50 h</w:t>
            </w:r>
          </w:p>
        </w:tc>
        <w:tc>
          <w:tcPr>
            <w:tcW w:type="dxa" w:w="1701"/>
            <w:vAlign w:val="center"/>
          </w:tcPr>
          <w:p>
            <w:r/>
            <w:r>
              <w:rPr>
                <w:sz w:val="19"/>
              </w:rPr>
              <w:t>R 150</w:t>
            </w:r>
          </w:p>
        </w:tc>
        <w:tc>
          <w:tcPr>
            <w:tcW w:type="dxa" w:w="1701"/>
            <w:vAlign w:val="center"/>
          </w:tcPr>
          <w:p>
            <w:r/>
            <w:r>
              <w:rPr>
                <w:sz w:val="19"/>
              </w:rPr>
              <w:t>R 7 500</w:t>
            </w:r>
          </w:p>
        </w:tc>
      </w:tr>
      <w:tr>
        <w:tc>
          <w:tcPr>
            <w:tcW w:type="dxa" w:w="3118"/>
            <w:vAlign w:val="center"/>
          </w:tcPr>
          <w:p>
            <w:r/>
            <w:r>
              <w:rPr>
                <w:sz w:val="19"/>
              </w:rPr>
              <w:t>Deployment &amp; Training</w:t>
            </w:r>
          </w:p>
        </w:tc>
        <w:tc>
          <w:tcPr>
            <w:tcW w:type="dxa" w:w="1984"/>
            <w:vAlign w:val="center"/>
          </w:tcPr>
          <w:p>
            <w:r/>
            <w:r>
              <w:rPr>
                <w:sz w:val="19"/>
              </w:rPr>
              <w:t>Both</w:t>
            </w:r>
          </w:p>
        </w:tc>
        <w:tc>
          <w:tcPr>
            <w:tcW w:type="dxa" w:w="1134"/>
            <w:vAlign w:val="center"/>
          </w:tcPr>
          <w:p>
            <w:r/>
            <w:r>
              <w:rPr>
                <w:sz w:val="19"/>
              </w:rPr>
              <w:t>30 h</w:t>
            </w:r>
          </w:p>
        </w:tc>
        <w:tc>
          <w:tcPr>
            <w:tcW w:type="dxa" w:w="1701"/>
            <w:vAlign w:val="center"/>
          </w:tcPr>
          <w:p>
            <w:r/>
            <w:r>
              <w:rPr>
                <w:sz w:val="19"/>
              </w:rPr>
              <w:t>R 150</w:t>
            </w:r>
          </w:p>
        </w:tc>
        <w:tc>
          <w:tcPr>
            <w:tcW w:type="dxa" w:w="1701"/>
            <w:vAlign w:val="center"/>
          </w:tcPr>
          <w:p>
            <w:r/>
            <w:r>
              <w:rPr>
                <w:sz w:val="19"/>
              </w:rPr>
              <w:t>R 4 500</w:t>
            </w:r>
          </w:p>
        </w:tc>
      </w:tr>
      <w:tr>
        <w:tc>
          <w:tcPr>
            <w:tcW w:type="dxa" w:w="3118"/>
            <w:vAlign w:val="center"/>
          </w:tcPr>
          <w:p>
            <w:r/>
            <w:r>
              <w:rPr>
                <w:sz w:val="19"/>
              </w:rPr>
              <w:t>Documentation &amp; PM</w:t>
            </w:r>
          </w:p>
        </w:tc>
        <w:tc>
          <w:tcPr>
            <w:tcW w:type="dxa" w:w="1984"/>
            <w:vAlign w:val="center"/>
          </w:tcPr>
          <w:p>
            <w:r/>
            <w:r>
              <w:rPr>
                <w:sz w:val="19"/>
              </w:rPr>
              <w:t>Both</w:t>
            </w:r>
          </w:p>
        </w:tc>
        <w:tc>
          <w:tcPr>
            <w:tcW w:type="dxa" w:w="1134"/>
            <w:vAlign w:val="center"/>
          </w:tcPr>
          <w:p>
            <w:r/>
            <w:r>
              <w:rPr>
                <w:sz w:val="19"/>
              </w:rPr>
              <w:t>40 h</w:t>
            </w:r>
          </w:p>
        </w:tc>
        <w:tc>
          <w:tcPr>
            <w:tcW w:type="dxa" w:w="1701"/>
            <w:vAlign w:val="center"/>
          </w:tcPr>
          <w:p>
            <w:r/>
            <w:r>
              <w:rPr>
                <w:sz w:val="19"/>
              </w:rPr>
              <w:t>R 120</w:t>
            </w:r>
          </w:p>
        </w:tc>
        <w:tc>
          <w:tcPr>
            <w:tcW w:type="dxa" w:w="1701"/>
            <w:vAlign w:val="center"/>
          </w:tcPr>
          <w:p>
            <w:r/>
            <w:r>
              <w:rPr>
                <w:sz w:val="19"/>
              </w:rPr>
              <w:t>R 4 800</w:t>
            </w:r>
          </w:p>
        </w:tc>
      </w:tr>
    </w:tbl>
    <w:p>
      <w:pPr>
        <w:jc w:val="center"/>
      </w:pPr>
      <w:r>
        <w:rPr>
          <w:i/>
          <w:color w:val="0B3D91"/>
          <w:sz w:val="19"/>
        </w:rPr>
        <w:t>Table 7.1 – Activity-based labour cost</w:t>
      </w:r>
    </w:p>
    <w:p>
      <w:pPr>
        <w:pStyle w:val="Heading2"/>
      </w:pPr>
      <w:r>
        <w:rPr>
          <w:rFonts w:ascii="Calibri" w:hAnsi="Calibri"/>
          <w:color w:val="0B3D91"/>
        </w:rPr>
        <w:t>7.1 Non-Labour Costs</w:t>
      </w:r>
    </w:p>
    <w:tbl>
      <w:tblPr>
        <w:tblStyle w:val="LightGrid-Accent1"/>
        <w:tblW w:type="auto" w:w="0"/>
        <w:jc w:val="center"/>
        <w:tblLook w:firstColumn="1" w:firstRow="1" w:lastColumn="0" w:lastRow="0" w:noHBand="0" w:noVBand="1" w:val="04A0"/>
      </w:tblPr>
      <w:tblGrid>
        <w:gridCol w:w="4873"/>
        <w:gridCol w:w="4873"/>
      </w:tblGrid>
      <w:tr>
        <w:tc>
          <w:tcPr>
            <w:tcW w:type="dxa" w:w="5669"/>
            <w:shd w:val="clear" w:color="auto" w:fill="0B3D91"/>
            <w:vAlign w:val="center"/>
          </w:tcPr>
          <w:p>
            <w:r/>
            <w:r>
              <w:rPr>
                <w:b/>
                <w:color w:val="FFFFFF"/>
                <w:sz w:val="20"/>
              </w:rPr>
              <w:t>Item</w:t>
            </w:r>
          </w:p>
        </w:tc>
        <w:tc>
          <w:tcPr>
            <w:tcW w:type="dxa" w:w="3402"/>
            <w:shd w:val="clear" w:color="auto" w:fill="0B3D91"/>
            <w:vAlign w:val="center"/>
          </w:tcPr>
          <w:p>
            <w:r/>
            <w:r>
              <w:rPr>
                <w:b/>
                <w:color w:val="FFFFFF"/>
                <w:sz w:val="20"/>
              </w:rPr>
              <w:t>Cost (ZAR)</w:t>
            </w:r>
          </w:p>
        </w:tc>
      </w:tr>
      <w:tr>
        <w:tc>
          <w:tcPr>
            <w:tcW w:type="dxa" w:w="5669"/>
            <w:vAlign w:val="center"/>
          </w:tcPr>
          <w:p>
            <w:r/>
            <w:r>
              <w:rPr>
                <w:sz w:val="19"/>
              </w:rPr>
              <w:t>External HDD 1 TB × 2</w:t>
            </w:r>
          </w:p>
        </w:tc>
        <w:tc>
          <w:tcPr>
            <w:tcW w:type="dxa" w:w="3402"/>
            <w:vAlign w:val="center"/>
          </w:tcPr>
          <w:p>
            <w:r/>
            <w:r>
              <w:rPr>
                <w:sz w:val="19"/>
              </w:rPr>
              <w:t>R 1 700</w:t>
            </w:r>
          </w:p>
        </w:tc>
      </w:tr>
      <w:tr>
        <w:tc>
          <w:tcPr>
            <w:tcW w:type="dxa" w:w="5669"/>
            <w:vAlign w:val="center"/>
          </w:tcPr>
          <w:p>
            <w:r/>
            <w:r>
              <w:rPr>
                <w:sz w:val="19"/>
              </w:rPr>
              <w:t>UPS × 2</w:t>
            </w:r>
          </w:p>
        </w:tc>
        <w:tc>
          <w:tcPr>
            <w:tcW w:type="dxa" w:w="3402"/>
            <w:vAlign w:val="center"/>
          </w:tcPr>
          <w:p>
            <w:r/>
            <w:r>
              <w:rPr>
                <w:sz w:val="19"/>
              </w:rPr>
              <w:t>R 2 400</w:t>
            </w:r>
          </w:p>
        </w:tc>
      </w:tr>
      <w:tr>
        <w:tc>
          <w:tcPr>
            <w:tcW w:type="dxa" w:w="5669"/>
            <w:vAlign w:val="center"/>
          </w:tcPr>
          <w:p>
            <w:r/>
            <w:r>
              <w:rPr>
                <w:sz w:val="19"/>
              </w:rPr>
              <w:t>4G Router + 3 months data</w:t>
            </w:r>
          </w:p>
        </w:tc>
        <w:tc>
          <w:tcPr>
            <w:tcW w:type="dxa" w:w="3402"/>
            <w:vAlign w:val="center"/>
          </w:tcPr>
          <w:p>
            <w:r/>
            <w:r>
              <w:rPr>
                <w:sz w:val="19"/>
              </w:rPr>
              <w:t>R 1 497</w:t>
            </w:r>
          </w:p>
        </w:tc>
      </w:tr>
      <w:tr>
        <w:tc>
          <w:tcPr>
            <w:tcW w:type="dxa" w:w="5669"/>
            <w:vAlign w:val="center"/>
          </w:tcPr>
          <w:p>
            <w:r/>
            <w:r>
              <w:rPr>
                <w:sz w:val="19"/>
              </w:rPr>
              <w:t>Hosting (Afrihost) × 3 months + domain</w:t>
            </w:r>
          </w:p>
        </w:tc>
        <w:tc>
          <w:tcPr>
            <w:tcW w:type="dxa" w:w="3402"/>
            <w:vAlign w:val="center"/>
          </w:tcPr>
          <w:p>
            <w:r/>
            <w:r>
              <w:rPr>
                <w:sz w:val="19"/>
              </w:rPr>
              <w:t>R 747</w:t>
            </w:r>
          </w:p>
        </w:tc>
      </w:tr>
      <w:tr>
        <w:tc>
          <w:tcPr>
            <w:tcW w:type="dxa" w:w="5669"/>
            <w:vAlign w:val="center"/>
          </w:tcPr>
          <w:p>
            <w:r/>
            <w:r>
              <w:rPr>
                <w:sz w:val="19"/>
              </w:rPr>
              <w:t>Printing &amp; stationery</w:t>
            </w:r>
          </w:p>
        </w:tc>
        <w:tc>
          <w:tcPr>
            <w:tcW w:type="dxa" w:w="3402"/>
            <w:vAlign w:val="center"/>
          </w:tcPr>
          <w:p>
            <w:r/>
            <w:r>
              <w:rPr>
                <w:sz w:val="19"/>
              </w:rPr>
              <w:t>R 500</w:t>
            </w:r>
          </w:p>
        </w:tc>
      </w:tr>
      <w:tr>
        <w:tc>
          <w:tcPr>
            <w:tcW w:type="dxa" w:w="5669"/>
            <w:vAlign w:val="center"/>
          </w:tcPr>
          <w:p>
            <w:r/>
            <w:r>
              <w:rPr>
                <w:sz w:val="19"/>
              </w:rPr>
              <w:t>Travel to MJSCYBER site (Bochum) × 2</w:t>
            </w:r>
          </w:p>
        </w:tc>
        <w:tc>
          <w:tcPr>
            <w:tcW w:type="dxa" w:w="3402"/>
            <w:vAlign w:val="center"/>
          </w:tcPr>
          <w:p>
            <w:r/>
            <w:r>
              <w:rPr>
                <w:sz w:val="19"/>
              </w:rPr>
              <w:t>R 1 800</w:t>
            </w:r>
          </w:p>
        </w:tc>
      </w:tr>
      <w:tr>
        <w:tc>
          <w:tcPr>
            <w:tcW w:type="dxa" w:w="5669"/>
            <w:vAlign w:val="center"/>
          </w:tcPr>
          <w:p>
            <w:r/>
            <w:r>
              <w:rPr>
                <w:sz w:val="19"/>
              </w:rPr>
              <w:t>Subtotal – Non-labour</w:t>
            </w:r>
          </w:p>
        </w:tc>
        <w:tc>
          <w:tcPr>
            <w:tcW w:type="dxa" w:w="3402"/>
            <w:vAlign w:val="center"/>
          </w:tcPr>
          <w:p>
            <w:r/>
            <w:r>
              <w:rPr>
                <w:sz w:val="19"/>
              </w:rPr>
              <w:t>R 8 644</w:t>
            </w:r>
          </w:p>
        </w:tc>
      </w:tr>
    </w:tbl>
    <w:p>
      <w:pPr>
        <w:jc w:val="center"/>
      </w:pPr>
      <w:r>
        <w:rPr>
          <w:i/>
          <w:color w:val="0B3D91"/>
          <w:sz w:val="19"/>
        </w:rPr>
        <w:t>Table 7.2 – Non-labour cost breakdown</w:t>
      </w:r>
    </w:p>
    <w:p>
      <w:pPr>
        <w:pStyle w:val="Heading2"/>
      </w:pPr>
      <w:r>
        <w:rPr>
          <w:rFonts w:ascii="Calibri" w:hAnsi="Calibri"/>
          <w:color w:val="0B3D91"/>
        </w:rPr>
        <w:t>7.2 Total Cost Calculation</w:t>
      </w:r>
    </w:p>
    <w:tbl>
      <w:tblPr>
        <w:tblStyle w:val="LightGrid-Accent1"/>
        <w:tblW w:type="auto" w:w="0"/>
        <w:jc w:val="center"/>
        <w:tblLook w:firstColumn="1" w:firstRow="1" w:lastColumn="0" w:lastRow="0" w:noHBand="0" w:noVBand="1" w:val="04A0"/>
      </w:tblPr>
      <w:tblGrid>
        <w:gridCol w:w="4873"/>
        <w:gridCol w:w="4873"/>
      </w:tblGrid>
      <w:tr>
        <w:tc>
          <w:tcPr>
            <w:tcW w:type="dxa" w:w="5669"/>
            <w:shd w:val="clear" w:color="auto" w:fill="0B3D91"/>
            <w:vAlign w:val="center"/>
          </w:tcPr>
          <w:p>
            <w:r/>
            <w:r>
              <w:rPr>
                <w:b/>
                <w:color w:val="FFFFFF"/>
                <w:sz w:val="20"/>
              </w:rPr>
              <w:t>Line Item</w:t>
            </w:r>
          </w:p>
        </w:tc>
        <w:tc>
          <w:tcPr>
            <w:tcW w:type="dxa" w:w="3402"/>
            <w:shd w:val="clear" w:color="auto" w:fill="0B3D91"/>
            <w:vAlign w:val="center"/>
          </w:tcPr>
          <w:p>
            <w:r/>
            <w:r>
              <w:rPr>
                <w:b/>
                <w:color w:val="FFFFFF"/>
                <w:sz w:val="20"/>
              </w:rPr>
              <w:t>Amount (ZAR)</w:t>
            </w:r>
          </w:p>
        </w:tc>
      </w:tr>
      <w:tr>
        <w:tc>
          <w:tcPr>
            <w:tcW w:type="dxa" w:w="5669"/>
            <w:vAlign w:val="center"/>
          </w:tcPr>
          <w:p>
            <w:r/>
            <w:r>
              <w:rPr>
                <w:sz w:val="19"/>
              </w:rPr>
              <w:t>Total Labour (Table 7.1)</w:t>
            </w:r>
          </w:p>
        </w:tc>
        <w:tc>
          <w:tcPr>
            <w:tcW w:type="dxa" w:w="3402"/>
            <w:vAlign w:val="center"/>
          </w:tcPr>
          <w:p>
            <w:r/>
            <w:r>
              <w:rPr>
                <w:sz w:val="19"/>
              </w:rPr>
              <w:t>R 68 800</w:t>
            </w:r>
          </w:p>
        </w:tc>
      </w:tr>
      <w:tr>
        <w:tc>
          <w:tcPr>
            <w:tcW w:type="dxa" w:w="5669"/>
            <w:vAlign w:val="center"/>
          </w:tcPr>
          <w:p>
            <w:r/>
            <w:r>
              <w:rPr>
                <w:sz w:val="19"/>
              </w:rPr>
              <w:t>Total Non-Labour (Table 7.2)</w:t>
            </w:r>
          </w:p>
        </w:tc>
        <w:tc>
          <w:tcPr>
            <w:tcW w:type="dxa" w:w="3402"/>
            <w:vAlign w:val="center"/>
          </w:tcPr>
          <w:p>
            <w:r/>
            <w:r>
              <w:rPr>
                <w:sz w:val="19"/>
              </w:rPr>
              <w:t>R 8 644</w:t>
            </w:r>
          </w:p>
        </w:tc>
      </w:tr>
      <w:tr>
        <w:tc>
          <w:tcPr>
            <w:tcW w:type="dxa" w:w="5669"/>
            <w:vAlign w:val="center"/>
          </w:tcPr>
          <w:p>
            <w:r/>
            <w:r>
              <w:rPr>
                <w:sz w:val="19"/>
              </w:rPr>
              <w:t>Subtotal</w:t>
            </w:r>
          </w:p>
        </w:tc>
        <w:tc>
          <w:tcPr>
            <w:tcW w:type="dxa" w:w="3402"/>
            <w:vAlign w:val="center"/>
          </w:tcPr>
          <w:p>
            <w:r/>
            <w:r>
              <w:rPr>
                <w:sz w:val="19"/>
              </w:rPr>
              <w:t>R 77 444</w:t>
            </w:r>
          </w:p>
        </w:tc>
      </w:tr>
      <w:tr>
        <w:tc>
          <w:tcPr>
            <w:tcW w:type="dxa" w:w="5669"/>
            <w:vAlign w:val="center"/>
          </w:tcPr>
          <w:p>
            <w:r/>
            <w:r>
              <w:rPr>
                <w:sz w:val="19"/>
              </w:rPr>
              <w:t>Contingency (≈ 9 %)</w:t>
            </w:r>
          </w:p>
        </w:tc>
        <w:tc>
          <w:tcPr>
            <w:tcW w:type="dxa" w:w="3402"/>
            <w:vAlign w:val="center"/>
          </w:tcPr>
          <w:p>
            <w:r/>
            <w:r>
              <w:rPr>
                <w:sz w:val="19"/>
              </w:rPr>
              <w:t>R 7 056</w:t>
            </w:r>
          </w:p>
        </w:tc>
      </w:tr>
      <w:tr>
        <w:tc>
          <w:tcPr>
            <w:tcW w:type="dxa" w:w="5669"/>
            <w:vAlign w:val="center"/>
          </w:tcPr>
          <w:p>
            <w:r/>
            <w:r>
              <w:rPr>
                <w:sz w:val="19"/>
              </w:rPr>
              <w:t>Grand Total Project Budget</w:t>
            </w:r>
          </w:p>
        </w:tc>
        <w:tc>
          <w:tcPr>
            <w:tcW w:type="dxa" w:w="3402"/>
            <w:vAlign w:val="center"/>
          </w:tcPr>
          <w:p>
            <w:r/>
            <w:r>
              <w:rPr>
                <w:sz w:val="19"/>
              </w:rPr>
              <w:t>R 84 500</w:t>
            </w:r>
          </w:p>
        </w:tc>
      </w:tr>
    </w:tbl>
    <w:p>
      <w:pPr>
        <w:jc w:val="center"/>
      </w:pPr>
      <w:r>
        <w:rPr>
          <w:i/>
          <w:color w:val="0B3D91"/>
          <w:sz w:val="19"/>
        </w:rPr>
        <w:t>Table 7.3 – Total project budget</w:t>
      </w:r>
    </w:p>
    <w:p>
      <w:pPr>
        <w:pStyle w:val="Heading2"/>
      </w:pPr>
      <w:r>
        <w:rPr>
          <w:rFonts w:ascii="Calibri" w:hAnsi="Calibri"/>
          <w:color w:val="0B3D91"/>
        </w:rPr>
        <w:t>7.3 Return on Investment (ROI)</w:t>
      </w:r>
    </w:p>
    <w:p>
      <w:r>
        <w:rPr>
          <w:b w:val="0"/>
          <w:i w:val="0"/>
          <w:color w:val="222222"/>
          <w:sz w:val="22"/>
        </w:rPr>
        <w:t>MJSCYBER currently loses an estimated ZAR 9 500 per month to manual administration, misplaced records and delayed certificate issuance. At this saving rate, the project pays for itself within approximately 9 months:</w:t>
      </w:r>
    </w:p>
    <w:p>
      <w:pPr>
        <w:jc w:val="center"/>
      </w:pPr>
      <w:r>
        <w:rPr>
          <w:b/>
          <w:i w:val="0"/>
          <w:color w:val="0B3D91"/>
          <w:sz w:val="22"/>
        </w:rPr>
        <w:t>ROI Payback = R 84 500 ÷ R 9 500 ≈ 8.9 months</w:t>
      </w:r>
    </w:p>
    <w:p>
      <w:r>
        <w:rPr>
          <w:b w:val="0"/>
          <w:i w:val="0"/>
          <w:color w:val="222222"/>
          <w:sz w:val="22"/>
        </w:rPr>
        <w:t>Additional upside (not included in the payback calculation): increased corporate-client trust from the public verification page is expected to grow intake by 15 – 20 % in Year 2. The project is therefore economically feasible.</w:t>
      </w:r>
    </w:p>
    <w:p>
      <w:r>
        <w:br w:type="page"/>
      </w:r>
    </w:p>
    <w:p>
      <w:pPr>
        <w:pStyle w:val="Heading1"/>
      </w:pPr>
      <w:r>
        <w:rPr>
          <w:rFonts w:ascii="Calibri" w:hAnsi="Calibri"/>
          <w:color w:val="0B3D91"/>
        </w:rPr>
        <w:t>8. Team Members</w:t>
      </w:r>
    </w:p>
    <w:p>
      <w:pPr>
        <w:jc w:val="center"/>
      </w:pPr>
      <w:r>
        <w:drawing>
          <wp:inline xmlns:a="http://schemas.openxmlformats.org/drawingml/2006/main" xmlns:pic="http://schemas.openxmlformats.org/drawingml/2006/picture">
            <wp:extent cx="5400000" cy="3600000"/>
            <wp:docPr id="10" name="Picture 10"/>
            <wp:cNvGraphicFramePr>
              <a:graphicFrameLocks noChangeAspect="1"/>
            </wp:cNvGraphicFramePr>
            <a:graphic>
              <a:graphicData uri="http://schemas.openxmlformats.org/drawingml/2006/picture">
                <pic:pic>
                  <pic:nvPicPr>
                    <pic:cNvPr id="0" name="team_meeting.jpg"/>
                    <pic:cNvPicPr/>
                  </pic:nvPicPr>
                  <pic:blipFill>
                    <a:blip r:embed="rId18"/>
                    <a:stretch>
                      <a:fillRect/>
                    </a:stretch>
                  </pic:blipFill>
                  <pic:spPr>
                    <a:xfrm>
                      <a:off x="0" y="0"/>
                      <a:ext cx="5400000" cy="3600000"/>
                    </a:xfrm>
                    <a:prstGeom prst="rect"/>
                  </pic:spPr>
                </pic:pic>
              </a:graphicData>
            </a:graphic>
          </wp:inline>
        </w:drawing>
      </w:r>
    </w:p>
    <w:p>
      <w:pPr>
        <w:jc w:val="center"/>
      </w:pPr>
      <w:r>
        <w:rPr>
          <w:i/>
          <w:color w:val="0B3D91"/>
          <w:sz w:val="19"/>
        </w:rPr>
        <w:t>Figure 8.1 – A small, focused team applying agile collaboration</w:t>
      </w:r>
    </w:p>
    <w:p>
      <w:r>
        <w:rPr>
          <w:b w:val="0"/>
          <w:i w:val="0"/>
          <w:color w:val="222222"/>
          <w:sz w:val="22"/>
        </w:rPr>
        <w:t>The project is delivered by a focused two-member team. Both members hold clearly defined roles and complementary skill sets.</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shd w:val="clear" w:color="auto" w:fill="0B3D91"/>
            <w:vAlign w:val="center"/>
          </w:tcPr>
          <w:p>
            <w:r/>
            <w:r>
              <w:rPr>
                <w:b/>
                <w:color w:val="FFFFFF"/>
                <w:sz w:val="20"/>
              </w:rPr>
              <w:t>Name</w:t>
            </w:r>
          </w:p>
        </w:tc>
        <w:tc>
          <w:tcPr>
            <w:tcW w:type="dxa" w:w="2835"/>
            <w:shd w:val="clear" w:color="auto" w:fill="0B3D91"/>
            <w:vAlign w:val="center"/>
          </w:tcPr>
          <w:p>
            <w:r/>
            <w:r>
              <w:rPr>
                <w:b/>
                <w:color w:val="FFFFFF"/>
                <w:sz w:val="20"/>
              </w:rPr>
              <w:t>Role</w:t>
            </w:r>
          </w:p>
        </w:tc>
        <w:tc>
          <w:tcPr>
            <w:tcW w:type="dxa" w:w="4535"/>
            <w:shd w:val="clear" w:color="auto" w:fill="0B3D91"/>
            <w:vAlign w:val="center"/>
          </w:tcPr>
          <w:p>
            <w:r/>
            <w:r>
              <w:rPr>
                <w:b/>
                <w:color w:val="FFFFFF"/>
                <w:sz w:val="20"/>
              </w:rPr>
              <w:t>Responsibilities</w:t>
            </w:r>
          </w:p>
        </w:tc>
      </w:tr>
      <w:tr>
        <w:tc>
          <w:tcPr>
            <w:tcW w:type="dxa" w:w="2268"/>
            <w:vAlign w:val="center"/>
          </w:tcPr>
          <w:p>
            <w:r/>
            <w:r>
              <w:rPr>
                <w:sz w:val="19"/>
              </w:rPr>
              <w:t>Jones Sepuru</w:t>
            </w:r>
          </w:p>
        </w:tc>
        <w:tc>
          <w:tcPr>
            <w:tcW w:type="dxa" w:w="2835"/>
            <w:vAlign w:val="center"/>
          </w:tcPr>
          <w:p>
            <w:r/>
            <w:r>
              <w:rPr>
                <w:sz w:val="19"/>
              </w:rPr>
              <w:t>Project Manager &amp; Lead Backend Developer</w:t>
            </w:r>
          </w:p>
        </w:tc>
        <w:tc>
          <w:tcPr>
            <w:tcW w:type="dxa" w:w="4535"/>
            <w:vAlign w:val="center"/>
          </w:tcPr>
          <w:p>
            <w:r/>
            <w:r>
              <w:rPr>
                <w:sz w:val="19"/>
              </w:rPr>
              <w:t>Overall delivery; timeline; stakeholder liaison; PHP/MySQL development of Auth, Enrolment and Grading modules; testing lead.</w:t>
            </w:r>
          </w:p>
        </w:tc>
      </w:tr>
      <w:tr>
        <w:tc>
          <w:tcPr>
            <w:tcW w:type="dxa" w:w="2268"/>
            <w:vAlign w:val="center"/>
          </w:tcPr>
          <w:p>
            <w:r/>
            <w:r>
              <w:rPr>
                <w:sz w:val="19"/>
              </w:rPr>
              <w:t>Khumela Sendelani</w:t>
            </w:r>
          </w:p>
        </w:tc>
        <w:tc>
          <w:tcPr>
            <w:tcW w:type="dxa" w:w="2835"/>
            <w:vAlign w:val="center"/>
          </w:tcPr>
          <w:p>
            <w:r/>
            <w:r>
              <w:rPr>
                <w:sz w:val="19"/>
              </w:rPr>
              <w:t>Lead Frontend Developer &amp; Documentation Officer</w:t>
            </w:r>
          </w:p>
        </w:tc>
        <w:tc>
          <w:tcPr>
            <w:tcW w:type="dxa" w:w="4535"/>
            <w:vAlign w:val="center"/>
          </w:tcPr>
          <w:p>
            <w:r/>
            <w:r>
              <w:rPr>
                <w:sz w:val="19"/>
              </w:rPr>
              <w:t>UI/UX; Certificate &amp; Verify UI; VIP/Scheduling module; Admin dashboard; user manuals and training.</w:t>
            </w:r>
          </w:p>
        </w:tc>
      </w:tr>
    </w:tbl>
    <w:p>
      <w:pPr>
        <w:jc w:val="center"/>
      </w:pPr>
      <w:r>
        <w:rPr>
          <w:i/>
          <w:color w:val="0B3D91"/>
          <w:sz w:val="19"/>
        </w:rPr>
        <w:t>Table 8.1 – Team composition and responsibilities</w:t>
      </w:r>
    </w:p>
    <w:p>
      <w:pPr>
        <w:pStyle w:val="Heading2"/>
      </w:pPr>
      <w:r>
        <w:rPr>
          <w:rFonts w:ascii="Calibri" w:hAnsi="Calibri"/>
          <w:color w:val="0B3D91"/>
        </w:rPr>
        <w:t>8.1 Team Member CVs (Concise)</w:t>
      </w:r>
    </w:p>
    <w:p>
      <w:r>
        <w:rPr>
          <w:b/>
          <w:i w:val="0"/>
          <w:color w:val="0B3D91"/>
          <w:sz w:val="22"/>
        </w:rPr>
        <w:t>Jones Sepuru — Project Manager &amp; Lead Backend Developer</w:t>
      </w:r>
    </w:p>
    <w:p>
      <w:pPr>
        <w:pStyle w:val="ListBullet"/>
      </w:pPr>
      <w:r>
        <w:t>Education: BSc IT (Software Development), 3rd year — current GPA ≈ 75 %.</w:t>
      </w:r>
    </w:p>
    <w:p>
      <w:pPr>
        <w:pStyle w:val="ListBullet"/>
      </w:pPr>
      <w:r>
        <w:t>Key modules passed: Programming II &amp; III (Java / C#), Web Development III (PHP), Database II (MySQL), Software Engineering III.</w:t>
      </w:r>
    </w:p>
    <w:p>
      <w:pPr>
        <w:pStyle w:val="ListBullet"/>
      </w:pPr>
      <w:r>
        <w:t>Projects: Student results portal (PHP/MySQL); small e-commerce site for a local trader.</w:t>
      </w:r>
    </w:p>
    <w:p>
      <w:pPr>
        <w:pStyle w:val="ListBullet"/>
      </w:pPr>
      <w:r>
        <w:t>Strengths: OOP design, relational-database modelling, secure coding, leadership.</w:t>
      </w:r>
    </w:p>
    <w:p>
      <w:pPr>
        <w:pStyle w:val="ListBullet"/>
      </w:pPr>
      <w:r>
        <w:t>Contact: jones.sepuru@mjscyber.co.za  |  +27 (0) 00 000 0000</w:t>
      </w:r>
    </w:p>
    <w:p/>
    <w:p>
      <w:r>
        <w:rPr>
          <w:b/>
          <w:i w:val="0"/>
          <w:color w:val="0B3D91"/>
          <w:sz w:val="22"/>
        </w:rPr>
        <w:t>Khumela Sendelani — Lead Frontend Developer &amp; Documentation Officer</w:t>
      </w:r>
    </w:p>
    <w:p>
      <w:pPr>
        <w:pStyle w:val="ListBullet"/>
      </w:pPr>
      <w:r>
        <w:t>Education: BSc IT (Software Development), 3rd year — current GPA ≈ 72 %.</w:t>
      </w:r>
    </w:p>
    <w:p>
      <w:pPr>
        <w:pStyle w:val="ListBullet"/>
      </w:pPr>
      <w:r>
        <w:t>Key modules passed: Interactive Design III, Web Development III, Professional Communication III.</w:t>
      </w:r>
    </w:p>
    <w:p>
      <w:pPr>
        <w:pStyle w:val="ListBullet"/>
      </w:pPr>
      <w:r>
        <w:t>Projects: Campus-events landing page (HTML/CSS/JS); Figma redesign of a local NGO website.</w:t>
      </w:r>
    </w:p>
    <w:p>
      <w:pPr>
        <w:pStyle w:val="ListBullet"/>
      </w:pPr>
      <w:r>
        <w:t>Strengths: Responsive UI, Figma wireframing, technical writing, user training.</w:t>
      </w:r>
    </w:p>
    <w:p>
      <w:pPr>
        <w:pStyle w:val="ListBullet"/>
      </w:pPr>
      <w:r>
        <w:t>Contact: khumela.sendelani@mjscyber.co.za  |  +27 (0) 00 000 0000</w:t>
      </w:r>
    </w:p>
    <w:p>
      <w:pPr>
        <w:pStyle w:val="Heading2"/>
      </w:pPr>
      <w:r>
        <w:rPr>
          <w:rFonts w:ascii="Calibri" w:hAnsi="Calibri"/>
          <w:color w:val="0B3D91"/>
        </w:rPr>
        <w:t>8.2 Project Sponsor (Client)</w:t>
      </w:r>
    </w:p>
    <w:p>
      <w:pPr>
        <w:pStyle w:val="ListBullet"/>
      </w:pPr>
      <w:r>
        <w:t>Mr. Matjentje Jones Sepuru — Director, MJSCYBER PTY LTD — provides domain expertise, sign-off authority and access to end-users for UAT.</w:t>
      </w:r>
    </w:p>
    <w:p>
      <w:r>
        <w:br w:type="page"/>
      </w:r>
    </w:p>
    <w:p>
      <w:pPr>
        <w:pStyle w:val="Heading1"/>
      </w:pPr>
      <w:r>
        <w:rPr>
          <w:rFonts w:ascii="Calibri" w:hAnsi="Calibri"/>
          <w:color w:val="0B3D91"/>
        </w:rPr>
        <w:t>9. Conclusion</w:t>
      </w:r>
    </w:p>
    <w:p>
      <w:pPr>
        <w:jc w:val="center"/>
      </w:pPr>
      <w:r>
        <w:drawing>
          <wp:inline xmlns:a="http://schemas.openxmlformats.org/drawingml/2006/main" xmlns:pic="http://schemas.openxmlformats.org/drawingml/2006/picture">
            <wp:extent cx="5400000" cy="3604500"/>
            <wp:docPr id="11" name="Picture 11"/>
            <wp:cNvGraphicFramePr>
              <a:graphicFrameLocks noChangeAspect="1"/>
            </wp:cNvGraphicFramePr>
            <a:graphic>
              <a:graphicData uri="http://schemas.openxmlformats.org/drawingml/2006/picture">
                <pic:pic>
                  <pic:nvPicPr>
                    <pic:cNvPr id="0" name="cyber_lock.jpg"/>
                    <pic:cNvPicPr/>
                  </pic:nvPicPr>
                  <pic:blipFill>
                    <a:blip r:embed="rId19"/>
                    <a:stretch>
                      <a:fillRect/>
                    </a:stretch>
                  </pic:blipFill>
                  <pic:spPr>
                    <a:xfrm>
                      <a:off x="0" y="0"/>
                      <a:ext cx="5400000" cy="3604500"/>
                    </a:xfrm>
                    <a:prstGeom prst="rect"/>
                  </pic:spPr>
                </pic:pic>
              </a:graphicData>
            </a:graphic>
          </wp:inline>
        </w:drawing>
      </w:r>
    </w:p>
    <w:p>
      <w:pPr>
        <w:jc w:val="center"/>
      </w:pPr>
      <w:r>
        <w:rPr>
          <w:i/>
          <w:color w:val="0B3D91"/>
          <w:sz w:val="19"/>
        </w:rPr>
        <w:t>Figure 9.1 – Security, trust and digital transformation at MJSCYBER</w:t>
      </w:r>
    </w:p>
    <w:p>
      <w:r>
        <w:rPr>
          <w:b w:val="0"/>
          <w:i w:val="0"/>
          <w:color w:val="222222"/>
          <w:sz w:val="22"/>
        </w:rPr>
        <w:t>This Project Plan delivers a complete, justified and costed roadmap for transforming MJSCYBER's paper-based security school into a modern digital ecosystem. Customer needs have been translated into measurable goals, a 70-day schedule, a WBS of 20 tasks, a visual Gantt timeline, an 8-risk register, and both technical and economic feasibility studies. With an approved budget of R 84 500 and an expected payback period of under 9 months, the project offers MJSCYBER clear operational, compliance and revenue benefits.</w:t>
      </w:r>
    </w:p>
    <w:p>
      <w:r>
        <w:rPr>
          <w:b w:val="0"/>
          <w:i w:val="0"/>
          <w:color w:val="222222"/>
          <w:sz w:val="22"/>
        </w:rPr>
        <w:t>The team — Jones Sepuru and Khumela Sendelani — is confident that, with the approval of this plan, execution can commence on 04 May 2026 with a projected go-live date of 05 August 2026.</w:t>
      </w:r>
    </w:p>
    <w:p>
      <w:r>
        <w:br w:type="page"/>
      </w:r>
    </w:p>
    <w:p>
      <w:pPr>
        <w:pStyle w:val="Heading1"/>
      </w:pPr>
      <w:r>
        <w:rPr>
          <w:rFonts w:ascii="Calibri" w:hAnsi="Calibri"/>
          <w:color w:val="0B3D91"/>
        </w:rPr>
        <w:t>10. Appendices</w:t>
      </w:r>
    </w:p>
    <w:p>
      <w:pPr>
        <w:pStyle w:val="Heading2"/>
      </w:pPr>
      <w:r>
        <w:rPr>
          <w:rFonts w:ascii="Calibri" w:hAnsi="Calibri"/>
          <w:color w:val="0B3D91"/>
        </w:rPr>
        <w:t>Appendix A – Glossary</w:t>
      </w:r>
    </w:p>
    <w:tbl>
      <w:tblPr>
        <w:tblStyle w:val="LightGrid-Accent1"/>
        <w:tblW w:type="auto" w:w="0"/>
        <w:jc w:val="center"/>
        <w:tblLook w:firstColumn="1" w:firstRow="1" w:lastColumn="0" w:lastRow="0" w:noHBand="0" w:noVBand="1" w:val="04A0"/>
      </w:tblPr>
      <w:tblGrid>
        <w:gridCol w:w="4873"/>
        <w:gridCol w:w="4873"/>
      </w:tblGrid>
      <w:tr>
        <w:tc>
          <w:tcPr>
            <w:tcW w:type="dxa" w:w="1701"/>
            <w:shd w:val="clear" w:color="auto" w:fill="0B3D91"/>
            <w:vAlign w:val="center"/>
          </w:tcPr>
          <w:p>
            <w:r/>
            <w:r>
              <w:rPr>
                <w:b/>
                <w:color w:val="FFFFFF"/>
                <w:sz w:val="20"/>
              </w:rPr>
              <w:t>Term</w:t>
            </w:r>
          </w:p>
        </w:tc>
        <w:tc>
          <w:tcPr>
            <w:tcW w:type="dxa" w:w="7370"/>
            <w:shd w:val="clear" w:color="auto" w:fill="0B3D91"/>
            <w:vAlign w:val="center"/>
          </w:tcPr>
          <w:p>
            <w:r/>
            <w:r>
              <w:rPr>
                <w:b/>
                <w:color w:val="FFFFFF"/>
                <w:sz w:val="20"/>
              </w:rPr>
              <w:t>Definition</w:t>
            </w:r>
          </w:p>
        </w:tc>
      </w:tr>
      <w:tr>
        <w:tc>
          <w:tcPr>
            <w:tcW w:type="dxa" w:w="1701"/>
            <w:vAlign w:val="center"/>
          </w:tcPr>
          <w:p>
            <w:r/>
            <w:r>
              <w:rPr>
                <w:sz w:val="19"/>
              </w:rPr>
              <w:t>POPIA</w:t>
            </w:r>
          </w:p>
        </w:tc>
        <w:tc>
          <w:tcPr>
            <w:tcW w:type="dxa" w:w="7370"/>
            <w:vAlign w:val="center"/>
          </w:tcPr>
          <w:p>
            <w:r/>
            <w:r>
              <w:rPr>
                <w:sz w:val="19"/>
              </w:rPr>
              <w:t>Protection of Personal Information Act — South African data-protection legislation.</w:t>
            </w:r>
          </w:p>
        </w:tc>
      </w:tr>
      <w:tr>
        <w:tc>
          <w:tcPr>
            <w:tcW w:type="dxa" w:w="1701"/>
            <w:vAlign w:val="center"/>
          </w:tcPr>
          <w:p>
            <w:r/>
            <w:r>
              <w:rPr>
                <w:sz w:val="19"/>
              </w:rPr>
              <w:t>PSiRA</w:t>
            </w:r>
          </w:p>
        </w:tc>
        <w:tc>
          <w:tcPr>
            <w:tcW w:type="dxa" w:w="7370"/>
            <w:vAlign w:val="center"/>
          </w:tcPr>
          <w:p>
            <w:r/>
            <w:r>
              <w:rPr>
                <w:sz w:val="19"/>
              </w:rPr>
              <w:t>Private Security Industry Regulatory Authority — the South African regulator for the security industry.</w:t>
            </w:r>
          </w:p>
        </w:tc>
      </w:tr>
      <w:tr>
        <w:tc>
          <w:tcPr>
            <w:tcW w:type="dxa" w:w="1701"/>
            <w:vAlign w:val="center"/>
          </w:tcPr>
          <w:p>
            <w:r/>
            <w:r>
              <w:rPr>
                <w:sz w:val="19"/>
              </w:rPr>
              <w:t>ERD</w:t>
            </w:r>
          </w:p>
        </w:tc>
        <w:tc>
          <w:tcPr>
            <w:tcW w:type="dxa" w:w="7370"/>
            <w:vAlign w:val="center"/>
          </w:tcPr>
          <w:p>
            <w:r/>
            <w:r>
              <w:rPr>
                <w:sz w:val="19"/>
              </w:rPr>
              <w:t>Entity-Relationship Diagram — a visual model of database tables and relationships.</w:t>
            </w:r>
          </w:p>
        </w:tc>
      </w:tr>
      <w:tr>
        <w:tc>
          <w:tcPr>
            <w:tcW w:type="dxa" w:w="1701"/>
            <w:vAlign w:val="center"/>
          </w:tcPr>
          <w:p>
            <w:r/>
            <w:r>
              <w:rPr>
                <w:sz w:val="19"/>
              </w:rPr>
              <w:t>UAT</w:t>
            </w:r>
          </w:p>
        </w:tc>
        <w:tc>
          <w:tcPr>
            <w:tcW w:type="dxa" w:w="7370"/>
            <w:vAlign w:val="center"/>
          </w:tcPr>
          <w:p>
            <w:r/>
            <w:r>
              <w:rPr>
                <w:sz w:val="19"/>
              </w:rPr>
              <w:t>User Acceptance Testing — formal validation by the client.</w:t>
            </w:r>
          </w:p>
        </w:tc>
      </w:tr>
      <w:tr>
        <w:tc>
          <w:tcPr>
            <w:tcW w:type="dxa" w:w="1701"/>
            <w:vAlign w:val="center"/>
          </w:tcPr>
          <w:p>
            <w:r/>
            <w:r>
              <w:rPr>
                <w:sz w:val="19"/>
              </w:rPr>
              <w:t>WBS</w:t>
            </w:r>
          </w:p>
        </w:tc>
        <w:tc>
          <w:tcPr>
            <w:tcW w:type="dxa" w:w="7370"/>
            <w:vAlign w:val="center"/>
          </w:tcPr>
          <w:p>
            <w:r/>
            <w:r>
              <w:rPr>
                <w:sz w:val="19"/>
              </w:rPr>
              <w:t>Work Breakdown Structure — hierarchical decomposition of project tasks.</w:t>
            </w:r>
          </w:p>
        </w:tc>
      </w:tr>
      <w:tr>
        <w:tc>
          <w:tcPr>
            <w:tcW w:type="dxa" w:w="1701"/>
            <w:vAlign w:val="center"/>
          </w:tcPr>
          <w:p>
            <w:r/>
            <w:r>
              <w:rPr>
                <w:sz w:val="19"/>
              </w:rPr>
              <w:t>ROI</w:t>
            </w:r>
          </w:p>
        </w:tc>
        <w:tc>
          <w:tcPr>
            <w:tcW w:type="dxa" w:w="7370"/>
            <w:vAlign w:val="center"/>
          </w:tcPr>
          <w:p>
            <w:r/>
            <w:r>
              <w:rPr>
                <w:sz w:val="19"/>
              </w:rPr>
              <w:t>Return on Investment — measure of financial benefit per rand spent.</w:t>
            </w:r>
          </w:p>
        </w:tc>
      </w:tr>
    </w:tbl>
    <w:p>
      <w:pPr>
        <w:pStyle w:val="Heading2"/>
      </w:pPr>
      <w:r>
        <w:rPr>
          <w:rFonts w:ascii="Calibri" w:hAnsi="Calibri"/>
          <w:color w:val="0B3D91"/>
        </w:rPr>
        <w:t>Appendix B – References</w:t>
      </w:r>
    </w:p>
    <w:p>
      <w:pPr>
        <w:pStyle w:val="ListBullet"/>
      </w:pPr>
      <w:r>
        <w:t>Project Management Institute (2021). A Guide to the Project Management Body of Knowledge (PMBOK® Guide), 7th ed.</w:t>
      </w:r>
    </w:p>
    <w:p>
      <w:pPr>
        <w:pStyle w:val="ListBullet"/>
      </w:pPr>
      <w:r>
        <w:t>Sommerville, I. (2020). Software Engineering, 10th ed. Pearson.</w:t>
      </w:r>
    </w:p>
    <w:p>
      <w:pPr>
        <w:pStyle w:val="ListBullet"/>
      </w:pPr>
      <w:r>
        <w:t>Republic of South Africa (2013). Protection of Personal Information Act, No. 4 of 2013.</w:t>
      </w:r>
    </w:p>
    <w:p>
      <w:pPr>
        <w:pStyle w:val="ListBullet"/>
      </w:pPr>
      <w:r>
        <w:t>MJSCYBER PTY LTD (2022). CIPC Registration Certificate 2022/201980/07.</w:t>
      </w:r>
    </w:p>
    <w:p>
      <w:pPr>
        <w:pStyle w:val="Heading2"/>
      </w:pPr>
      <w:r>
        <w:rPr>
          <w:rFonts w:ascii="Calibri" w:hAnsi="Calibri"/>
          <w:color w:val="0B3D91"/>
        </w:rPr>
        <w:t>Appendix C – Document Control</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134"/>
            <w:shd w:val="clear" w:color="auto" w:fill="0B3D91"/>
            <w:vAlign w:val="center"/>
          </w:tcPr>
          <w:p>
            <w:r/>
            <w:r>
              <w:rPr>
                <w:b/>
                <w:color w:val="FFFFFF"/>
                <w:sz w:val="20"/>
              </w:rPr>
              <w:t>Version</w:t>
            </w:r>
          </w:p>
        </w:tc>
        <w:tc>
          <w:tcPr>
            <w:tcW w:type="dxa" w:w="1701"/>
            <w:shd w:val="clear" w:color="auto" w:fill="0B3D91"/>
            <w:vAlign w:val="center"/>
          </w:tcPr>
          <w:p>
            <w:r/>
            <w:r>
              <w:rPr>
                <w:b/>
                <w:color w:val="FFFFFF"/>
                <w:sz w:val="20"/>
              </w:rPr>
              <w:t>Date</w:t>
            </w:r>
          </w:p>
        </w:tc>
        <w:tc>
          <w:tcPr>
            <w:tcW w:type="dxa" w:w="2268"/>
            <w:shd w:val="clear" w:color="auto" w:fill="0B3D91"/>
            <w:vAlign w:val="center"/>
          </w:tcPr>
          <w:p>
            <w:r/>
            <w:r>
              <w:rPr>
                <w:b/>
                <w:color w:val="FFFFFF"/>
                <w:sz w:val="20"/>
              </w:rPr>
              <w:t>Author</w:t>
            </w:r>
          </w:p>
        </w:tc>
        <w:tc>
          <w:tcPr>
            <w:tcW w:type="dxa" w:w="3969"/>
            <w:shd w:val="clear" w:color="auto" w:fill="0B3D91"/>
            <w:vAlign w:val="center"/>
          </w:tcPr>
          <w:p>
            <w:r/>
            <w:r>
              <w:rPr>
                <w:b/>
                <w:color w:val="FFFFFF"/>
                <w:sz w:val="20"/>
              </w:rPr>
              <w:t>Change</w:t>
            </w:r>
          </w:p>
        </w:tc>
      </w:tr>
      <w:tr>
        <w:tc>
          <w:tcPr>
            <w:tcW w:type="dxa" w:w="1134"/>
            <w:vAlign w:val="center"/>
          </w:tcPr>
          <w:p>
            <w:r/>
            <w:r>
              <w:rPr>
                <w:sz w:val="19"/>
              </w:rPr>
              <w:t>1.0</w:t>
            </w:r>
          </w:p>
        </w:tc>
        <w:tc>
          <w:tcPr>
            <w:tcW w:type="dxa" w:w="1701"/>
            <w:vAlign w:val="center"/>
          </w:tcPr>
          <w:p>
            <w:r/>
            <w:r>
              <w:rPr>
                <w:sz w:val="19"/>
              </w:rPr>
              <w:t>22 April 2026</w:t>
            </w:r>
          </w:p>
        </w:tc>
        <w:tc>
          <w:tcPr>
            <w:tcW w:type="dxa" w:w="2268"/>
            <w:vAlign w:val="center"/>
          </w:tcPr>
          <w:p>
            <w:r/>
            <w:r>
              <w:rPr>
                <w:sz w:val="19"/>
              </w:rPr>
              <w:t>Jones Sepuru</w:t>
            </w:r>
          </w:p>
        </w:tc>
        <w:tc>
          <w:tcPr>
            <w:tcW w:type="dxa" w:w="3969"/>
            <w:vAlign w:val="center"/>
          </w:tcPr>
          <w:p>
            <w:r/>
            <w:r>
              <w:rPr>
                <w:sz w:val="19"/>
              </w:rPr>
              <w:t>Final submission version</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