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4745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745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C0392B"/>
          <w:sz w:val="24"/>
        </w:rPr>
        <w:t>WIL – WORK INTEGRATED LEARNING 3A  |  Module XISD5319</w:t>
      </w:r>
    </w:p>
    <w:p/>
    <w:p>
      <w:pPr>
        <w:jc w:val="center"/>
      </w:pPr>
      <w:r>
        <w:rPr>
          <w:b/>
          <w:color w:val="0B3D91"/>
          <w:sz w:val="52"/>
        </w:rPr>
        <w:t>TASK 2</w:t>
      </w:r>
    </w:p>
    <w:p>
      <w:pPr>
        <w:jc w:val="center"/>
      </w:pPr>
      <w:r>
        <w:rPr>
          <w:b/>
          <w:color w:val="222222"/>
          <w:sz w:val="40"/>
        </w:rPr>
        <w:t>DESIGN DOCUMENT</w:t>
      </w:r>
    </w:p>
    <w:p>
      <w:pPr>
        <w:jc w:val="center"/>
      </w:pPr>
      <w:r>
        <w:rPr>
          <w:i/>
          <w:color w:val="222222"/>
          <w:sz w:val="24"/>
        </w:rPr>
        <w:t>MJSCYBER Security School Web Application — System &amp; Technical Design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4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_security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0B3D91"/>
          </w:tcPr>
          <w:p>
            <w:r>
              <w:rPr>
                <w:b/>
                <w:color w:val="FFFFFF"/>
                <w:sz w:val="22"/>
              </w:rPr>
              <w:t>Client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MJSCYBER PTY LTD  (Reg: 2022/201980/07)</w:t>
            </w:r>
          </w:p>
        </w:tc>
      </w:tr>
      <w:tr>
        <w:tc>
          <w:tcPr>
            <w:tcW w:type="dxa" w:w="2835"/>
            <w:shd w:val="clear" w:color="auto" w:fill="0B3D91"/>
          </w:tcPr>
          <w:p>
            <w:r>
              <w:rPr>
                <w:b/>
                <w:color w:val="FFFFFF"/>
                <w:sz w:val="22"/>
              </w:rPr>
              <w:t>Prepared By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Jones Sepuru  &amp;  Khumela Sendelani</w:t>
            </w:r>
          </w:p>
        </w:tc>
      </w:tr>
      <w:tr>
        <w:tc>
          <w:tcPr>
            <w:tcW w:type="dxa" w:w="2835"/>
            <w:shd w:val="clear" w:color="auto" w:fill="0B3D91"/>
          </w:tcPr>
          <w:p>
            <w:r>
              <w:rPr>
                <w:b/>
                <w:color w:val="FFFFFF"/>
                <w:sz w:val="22"/>
              </w:rPr>
              <w:t>Client Location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Bochum, Limpopo, South Africa</w:t>
            </w:r>
          </w:p>
        </w:tc>
      </w:tr>
      <w:tr>
        <w:tc>
          <w:tcPr>
            <w:tcW w:type="dxa" w:w="2835"/>
            <w:shd w:val="clear" w:color="auto" w:fill="0B3D91"/>
          </w:tcPr>
          <w:p>
            <w:r>
              <w:rPr>
                <w:b/>
                <w:color w:val="FFFFFF"/>
                <w:sz w:val="22"/>
              </w:rPr>
              <w:t>Submission Date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22 April 2026</w:t>
            </w:r>
          </w:p>
        </w:tc>
      </w:tr>
      <w:tr>
        <w:tc>
          <w:tcPr>
            <w:tcW w:type="dxa" w:w="2835"/>
            <w:shd w:val="clear" w:color="auto" w:fill="0B3D91"/>
          </w:tcPr>
          <w:p>
            <w:r>
              <w:rPr>
                <w:b/>
                <w:color w:val="FFFFFF"/>
                <w:sz w:val="22"/>
              </w:rPr>
              <w:t>Document Version</w:t>
            </w:r>
          </w:p>
        </w:tc>
        <w:tc>
          <w:tcPr>
            <w:tcW w:type="dxa" w:w="6236"/>
          </w:tcPr>
          <w:p>
            <w:r>
              <w:rPr>
                <w:sz w:val="22"/>
              </w:rPr>
              <w:t>1.0 – Final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Calibri" w:hAnsi="Calibri"/>
          <w:color w:val="0B3D91"/>
        </w:rPr>
        <w:t>Group Members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Student Name</w:t>
            </w:r>
          </w:p>
        </w:tc>
        <w:tc>
          <w:tcPr>
            <w:tcW w:type="dxa" w:w="4873"/>
          </w:tcPr>
          <w:p>
            <w:r>
              <w:t>Jones Sepuru</w:t>
            </w:r>
          </w:p>
        </w:tc>
      </w:tr>
      <w:tr>
        <w:tc>
          <w:tcPr>
            <w:tcW w:type="dxa" w:w="4873"/>
          </w:tcPr>
          <w:p>
            <w:r>
              <w:t>Student Number</w:t>
            </w:r>
          </w:p>
        </w:tc>
        <w:tc>
          <w:tcPr>
            <w:tcW w:type="dxa" w:w="4873"/>
          </w:tcPr>
          <w:p>
            <w:r>
              <w:t>[Insert Student Number]</w:t>
            </w:r>
          </w:p>
        </w:tc>
      </w:tr>
      <w:tr>
        <w:tc>
          <w:tcPr>
            <w:tcW w:type="dxa" w:w="4873"/>
          </w:tcPr>
          <w:p>
            <w:r>
              <w:t>Student Name</w:t>
            </w:r>
          </w:p>
        </w:tc>
        <w:tc>
          <w:tcPr>
            <w:tcW w:type="dxa" w:w="4873"/>
          </w:tcPr>
          <w:p>
            <w:r>
              <w:t>Khumela Sendelani</w:t>
            </w:r>
          </w:p>
        </w:tc>
      </w:tr>
      <w:tr>
        <w:tc>
          <w:tcPr>
            <w:tcW w:type="dxa" w:w="4873"/>
          </w:tcPr>
          <w:p>
            <w:r>
              <w:t>Student Number</w:t>
            </w:r>
          </w:p>
        </w:tc>
        <w:tc>
          <w:tcPr>
            <w:tcW w:type="dxa" w:w="4873"/>
          </w:tcPr>
          <w:p>
            <w:r>
              <w:t>[Insert Student Number]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Table of Contents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1.</w:t>
            </w:r>
          </w:p>
        </w:tc>
        <w:tc>
          <w:tcPr>
            <w:tcW w:type="dxa" w:w="3249"/>
          </w:tcPr>
          <w:p>
            <w:r>
              <w:t>Introduction</w:t>
            </w:r>
          </w:p>
        </w:tc>
        <w:tc>
          <w:tcPr>
            <w:tcW w:type="dxa" w:w="3249"/>
          </w:tcPr>
          <w:p>
            <w:r>
              <w:t>3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2.</w:t>
            </w:r>
          </w:p>
        </w:tc>
        <w:tc>
          <w:tcPr>
            <w:tcW w:type="dxa" w:w="3249"/>
          </w:tcPr>
          <w:p>
            <w:r>
              <w:t>System Architecture</w:t>
            </w:r>
          </w:p>
        </w:tc>
        <w:tc>
          <w:tcPr>
            <w:tcW w:type="dxa" w:w="3249"/>
          </w:tcPr>
          <w:p>
            <w:r>
              <w:t>4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3.</w:t>
            </w:r>
          </w:p>
        </w:tc>
        <w:tc>
          <w:tcPr>
            <w:tcW w:type="dxa" w:w="3249"/>
          </w:tcPr>
          <w:p>
            <w:r>
              <w:t>Use-Case Modelling</w:t>
            </w:r>
          </w:p>
        </w:tc>
        <w:tc>
          <w:tcPr>
            <w:tcW w:type="dxa" w:w="3249"/>
          </w:tcPr>
          <w:p>
            <w:r>
              <w:t>5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4.</w:t>
            </w:r>
          </w:p>
        </w:tc>
        <w:tc>
          <w:tcPr>
            <w:tcW w:type="dxa" w:w="3249"/>
          </w:tcPr>
          <w:p>
            <w:r>
              <w:t>Data Model &amp; Entity Relationship Diagram</w:t>
            </w:r>
          </w:p>
        </w:tc>
        <w:tc>
          <w:tcPr>
            <w:tcW w:type="dxa" w:w="3249"/>
          </w:tcPr>
          <w:p>
            <w:r>
              <w:t>6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5.</w:t>
            </w:r>
          </w:p>
        </w:tc>
        <w:tc>
          <w:tcPr>
            <w:tcW w:type="dxa" w:w="3249"/>
          </w:tcPr>
          <w:p>
            <w:r>
              <w:t>Data Dictionary</w:t>
            </w:r>
          </w:p>
        </w:tc>
        <w:tc>
          <w:tcPr>
            <w:tcW w:type="dxa" w:w="3249"/>
          </w:tcPr>
          <w:p>
            <w:r>
              <w:t>7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6.</w:t>
            </w:r>
          </w:p>
        </w:tc>
        <w:tc>
          <w:tcPr>
            <w:tcW w:type="dxa" w:w="3249"/>
          </w:tcPr>
          <w:p>
            <w:r>
              <w:t>User Interface Design</w:t>
            </w:r>
          </w:p>
        </w:tc>
        <w:tc>
          <w:tcPr>
            <w:tcW w:type="dxa" w:w="3249"/>
          </w:tcPr>
          <w:p>
            <w:r>
              <w:t>9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7.</w:t>
            </w:r>
          </w:p>
        </w:tc>
        <w:tc>
          <w:tcPr>
            <w:tcW w:type="dxa" w:w="3249"/>
          </w:tcPr>
          <w:p>
            <w:r>
              <w:t>API Specification</w:t>
            </w:r>
          </w:p>
        </w:tc>
        <w:tc>
          <w:tcPr>
            <w:tcW w:type="dxa" w:w="3249"/>
          </w:tcPr>
          <w:p>
            <w:r>
              <w:t>10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8.</w:t>
            </w:r>
          </w:p>
        </w:tc>
        <w:tc>
          <w:tcPr>
            <w:tcW w:type="dxa" w:w="3249"/>
          </w:tcPr>
          <w:p>
            <w:r>
              <w:t>Security Design</w:t>
            </w:r>
          </w:p>
        </w:tc>
        <w:tc>
          <w:tcPr>
            <w:tcW w:type="dxa" w:w="3249"/>
          </w:tcPr>
          <w:p>
            <w:r>
              <w:t>12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9.</w:t>
            </w:r>
          </w:p>
        </w:tc>
        <w:tc>
          <w:tcPr>
            <w:tcW w:type="dxa" w:w="3249"/>
          </w:tcPr>
          <w:p>
            <w:r>
              <w:t>Non-Functional Requirements</w:t>
            </w:r>
          </w:p>
        </w:tc>
        <w:tc>
          <w:tcPr>
            <w:tcW w:type="dxa" w:w="3249"/>
          </w:tcPr>
          <w:p>
            <w:r>
              <w:t>13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10.</w:t>
            </w:r>
          </w:p>
        </w:tc>
        <w:tc>
          <w:tcPr>
            <w:tcW w:type="dxa" w:w="3249"/>
          </w:tcPr>
          <w:p>
            <w:r>
              <w:t>Technology Stack &amp; Justification</w:t>
            </w:r>
          </w:p>
        </w:tc>
        <w:tc>
          <w:tcPr>
            <w:tcW w:type="dxa" w:w="3249"/>
          </w:tcPr>
          <w:p>
            <w:r>
              <w:t>14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11.</w:t>
            </w:r>
          </w:p>
        </w:tc>
        <w:tc>
          <w:tcPr>
            <w:tcW w:type="dxa" w:w="3249"/>
          </w:tcPr>
          <w:p>
            <w:r>
              <w:t>Design Assumptions &amp; Constraints</w:t>
            </w:r>
          </w:p>
        </w:tc>
        <w:tc>
          <w:tcPr>
            <w:tcW w:type="dxa" w:w="3249"/>
          </w:tcPr>
          <w:p>
            <w:r>
              <w:t>15</w:t>
            </w:r>
          </w:p>
        </w:tc>
      </w:tr>
      <w:tr>
        <w:tc>
          <w:tcPr>
            <w:tcW w:type="dxa" w:w="3249"/>
          </w:tcPr>
          <w:p>
            <w:r>
              <w:rPr>
                <w:b/>
              </w:rPr>
              <w:t>12.</w:t>
            </w:r>
          </w:p>
        </w:tc>
        <w:tc>
          <w:tcPr>
            <w:tcW w:type="dxa" w:w="3249"/>
          </w:tcPr>
          <w:p>
            <w:r>
              <w:t>Conclusion</w:t>
            </w:r>
          </w:p>
        </w:tc>
        <w:tc>
          <w:tcPr>
            <w:tcW w:type="dxa" w:w="3249"/>
          </w:tcPr>
          <w:p>
            <w:r>
              <w:t>16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1. Introduction</w:t>
      </w:r>
    </w:p>
    <w:p>
      <w:r>
        <w:rPr>
          <w:b w:val="0"/>
          <w:i w:val="0"/>
          <w:color w:val="222222"/>
          <w:sz w:val="22"/>
        </w:rPr>
        <w:t>This Design Document translates the approved Project Plan (Task 1) into a concrete, implementable technical blueprint for the MJSCYBER Security School Web Application. It specifies system architecture, data models, user interactions, APIs, and security controls — forming the agreed baseline that development (Phase 3) and testing (Phase 4) will be measured against.</w:t>
      </w:r>
    </w:p>
    <w:p>
      <w:pPr>
        <w:pStyle w:val="Heading2"/>
      </w:pPr>
      <w:r>
        <w:rPr>
          <w:rFonts w:ascii="Calibri" w:hAnsi="Calibri"/>
          <w:color w:val="0B3D91"/>
        </w:rPr>
        <w:t>1.1 Scope</w:t>
      </w:r>
    </w:p>
    <w:p>
      <w:pPr>
        <w:pStyle w:val="ListBullet"/>
      </w:pPr>
      <w:r>
        <w:t>Student self-service: registration, enrolment, payment, grading, certificate download.</w:t>
      </w:r>
    </w:p>
    <w:p>
      <w:pPr>
        <w:pStyle w:val="ListBullet"/>
      </w:pPr>
      <w:r>
        <w:t>Public certificate verification via unique serial and QR code.</w:t>
      </w:r>
    </w:p>
    <w:p>
      <w:pPr>
        <w:pStyle w:val="ListBullet"/>
      </w:pPr>
      <w:r>
        <w:t>VIP protection and site-security service requests with admin workflow.</w:t>
      </w:r>
    </w:p>
    <w:p>
      <w:pPr>
        <w:pStyle w:val="ListBullet"/>
      </w:pPr>
      <w:r>
        <w:t>Admin control centre: courses, enrolments, grading, certificate issue, KPIs.</w:t>
      </w:r>
    </w:p>
    <w:p>
      <w:pPr>
        <w:pStyle w:val="Heading2"/>
      </w:pPr>
      <w:r>
        <w:rPr>
          <w:rFonts w:ascii="Calibri" w:hAnsi="Calibri"/>
          <w:color w:val="0B3D91"/>
        </w:rPr>
        <w:t>1.2 Design Goals</w:t>
      </w:r>
    </w:p>
    <w:p>
      <w:pPr>
        <w:pStyle w:val="ListBullet"/>
      </w:pPr>
      <w:r>
        <w:t>Keep the solution lightweight enough to run reliably on limited-bandwidth rural connections.</w:t>
      </w:r>
    </w:p>
    <w:p>
      <w:pPr>
        <w:pStyle w:val="ListBullet"/>
      </w:pPr>
      <w:r>
        <w:t>Enforce tamper-proof digital records aligned to POPIA and PSiRA compliance.</w:t>
      </w:r>
    </w:p>
    <w:p>
      <w:pPr>
        <w:pStyle w:val="ListBullet"/>
      </w:pPr>
      <w:r>
        <w:t>Maintain a clean separation between public, student and admin concerns via role-based access.</w:t>
      </w:r>
    </w:p>
    <w:p>
      <w:pPr>
        <w:pStyle w:val="ListBullet"/>
      </w:pPr>
      <w:r>
        <w:t>Favour open-source, free-tier tools to keep total cost of ownership within budget.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2. System Architecture</w:t>
      </w:r>
    </w:p>
    <w:p>
      <w:r>
        <w:rPr>
          <w:b w:val="0"/>
          <w:i w:val="0"/>
          <w:color w:val="222222"/>
          <w:sz w:val="22"/>
        </w:rPr>
        <w:t>The solution follows a classical 3-tier architecture. A rich single-page React application communicates over HTTPS with a FastAPI service, which in turn persists data to MongoDB and integrates with Stripe for payments. Authentication is achieved via JWT tokens stored as httpOnly cookies — never accessible to JavaScript.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386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38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2.1 – MJSCYBER 3-tier system architecture</w:t>
      </w:r>
    </w:p>
    <w:p>
      <w:pPr>
        <w:pStyle w:val="Heading2"/>
      </w:pPr>
      <w:r>
        <w:rPr>
          <w:rFonts w:ascii="Calibri" w:hAnsi="Calibri"/>
          <w:color w:val="0B3D91"/>
        </w:rPr>
        <w:t>2.1 Architectural Principles</w:t>
      </w:r>
    </w:p>
    <w:p>
      <w:pPr>
        <w:pStyle w:val="ListBullet"/>
      </w:pPr>
      <w:r>
        <w:t>Separation of concerns: presentation (React), business logic (FastAPI), persistence (MongoDB).</w:t>
      </w:r>
    </w:p>
    <w:p>
      <w:pPr>
        <w:pStyle w:val="ListBullet"/>
      </w:pPr>
      <w:r>
        <w:t>Stateless backend: each request carries its own JWT; enables horizontal scaling.</w:t>
      </w:r>
    </w:p>
    <w:p>
      <w:pPr>
        <w:pStyle w:val="ListBullet"/>
      </w:pPr>
      <w:r>
        <w:t>All external integrations (Stripe) are invoked from the backend only.</w:t>
      </w:r>
    </w:p>
    <w:p>
      <w:pPr>
        <w:pStyle w:val="ListBullet"/>
      </w:pPr>
      <w:r>
        <w:t>Frontend consumes ONLY the REACT_APP_BACKEND_URL — no hardcoded hosts.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3. Use-Case Modelling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229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22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3.1 – Actor and use-case diagram</w:t>
      </w:r>
    </w:p>
    <w:p>
      <w:pPr>
        <w:pStyle w:val="Heading2"/>
      </w:pPr>
      <w:r>
        <w:rPr>
          <w:rFonts w:ascii="Calibri" w:hAnsi="Calibri"/>
          <w:color w:val="0B3D91"/>
        </w:rPr>
        <w:t>3.1 Primary Actor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1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969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Key Use Cases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Public Visitor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Unauthenticated user browsing the site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View landing, verify a certificate, register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Student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Authenticated learner, role=student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Enrol in course, pay tuition, take theory/practical, view certificates, request VIP / site service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MJSCYBER staff, role=admin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Manage courses, approve enrolments, grade, issue certificates, review service requests, view KPIs</w:t>
            </w:r>
          </w:p>
        </w:tc>
      </w:tr>
    </w:tbl>
    <w:p>
      <w:pPr>
        <w:jc w:val="center"/>
      </w:pPr>
      <w:r>
        <w:rPr>
          <w:i/>
          <w:color w:val="0B3D91"/>
          <w:sz w:val="19"/>
        </w:rPr>
        <w:t>Table 3.1 – Actor responsibilities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4. Data Model &amp; Entity Relationship Diagram</w:t>
      </w:r>
    </w:p>
    <w:p>
      <w:r>
        <w:rPr>
          <w:b w:val="0"/>
          <w:i w:val="0"/>
          <w:color w:val="222222"/>
          <w:sz w:val="22"/>
        </w:rPr>
        <w:t>MongoDB is a document database, but entity relationships are enforced at the application layer via ObjectId references. The diagram below shows each collection and its relationships.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214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21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4.1 – MJSCYBER data model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5. Data Dictionary</w:t>
      </w:r>
    </w:p>
    <w:p>
      <w:pPr>
        <w:pStyle w:val="Heading2"/>
      </w:pPr>
      <w:r>
        <w:rPr>
          <w:rFonts w:ascii="Calibri" w:hAnsi="Calibri"/>
          <w:color w:val="0B3D91"/>
        </w:rPr>
        <w:t>5.1 users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311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ObjectId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PK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Mongo primary key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email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unique, lower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Used for login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password_hash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bcrypt 12-round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Never returned to client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name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Full name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role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enum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admin | student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RBAC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phone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optional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id_number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optional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SA ID, 13 digits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created_at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ISO datetime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0B3D91"/>
        </w:rPr>
        <w:t>5.2 courses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311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ObjectId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PK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code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unique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e.g., PSE-E, AR-01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title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grade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E,D,C,B,A,SP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description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duration_days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int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&gt;=1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price_zar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&gt;=0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Tuition in ZAR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active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default true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Soft-archive flag</w:t>
            </w:r>
          </w:p>
        </w:tc>
      </w:tr>
    </w:tbl>
    <w:p>
      <w:pPr>
        <w:pStyle w:val="Heading2"/>
      </w:pPr>
      <w:r>
        <w:rPr>
          <w:rFonts w:ascii="Calibri" w:hAnsi="Calibri"/>
          <w:color w:val="0B3D91"/>
        </w:rPr>
        <w:t>5.3 enrolments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Constraints</w:t>
            </w:r>
          </w:p>
        </w:tc>
        <w:tc>
          <w:tcPr>
            <w:tcW w:type="dxa" w:w="311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ObjectId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PK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student_id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FK users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course_id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FK courses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status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enum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pending|active|completed|failed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payment_status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enum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pending|paid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theory_mark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0-100 or null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practical_mark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0-100 or null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overall_mark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computed avg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enrolled_at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ISO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required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graded_at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ISO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optional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2"/>
      </w:pPr>
      <w:r>
        <w:rPr>
          <w:rFonts w:ascii="Calibri" w:hAnsi="Calibri"/>
          <w:color w:val="0B3D91"/>
        </w:rPr>
        <w:t>5.4 certificates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70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5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serial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string (UQ)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MJS-YYYY-XXXXXXXX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enrolment_id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FK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student_id / name / email / id_number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denormalised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For tamper-proof snapshot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course_title / code / grade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denormalised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Snapshot at time of issue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overall_mark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float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issued_at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ISO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issuer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MJSCYBER PTY LTD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valid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bool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Soft-revocation flag</w:t>
            </w:r>
          </w:p>
        </w:tc>
      </w:tr>
    </w:tbl>
    <w:p>
      <w:pPr>
        <w:pStyle w:val="Heading2"/>
      </w:pPr>
      <w:r>
        <w:rPr>
          <w:rFonts w:ascii="Calibri" w:hAnsi="Calibri"/>
          <w:color w:val="0B3D91"/>
        </w:rPr>
        <w:t>5.5 payment_transactions, vip_requests, site_security</w:t>
      </w:r>
    </w:p>
    <w:p>
      <w:r>
        <w:rPr>
          <w:b w:val="0"/>
          <w:i w:val="0"/>
          <w:color w:val="222222"/>
          <w:sz w:val="22"/>
        </w:rPr>
        <w:t>See the ERD (Figure 4.1). These collections are referenced from the application layer by string-cast ObjectId. Each carries a status machine (pending → paid/approved/rejected) and is filtered by created_by for students, unrestricted for admin.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6. User Interface Design</w:t>
      </w:r>
    </w:p>
    <w:p>
      <w:r>
        <w:rPr>
          <w:b w:val="0"/>
          <w:i w:val="0"/>
          <w:color w:val="222222"/>
          <w:sz w:val="22"/>
        </w:rPr>
        <w:t>The UI adopts a modern dark theme (navy + red accents) to reflect the professional security industry. All pages are responsive and tested on 1440-wide and mobile viewports.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0366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fram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36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6.1 – Key-page wireframes: Landing and Student Dashboard</w:t>
      </w:r>
    </w:p>
    <w:p>
      <w:pPr>
        <w:pStyle w:val="Heading2"/>
      </w:pPr>
      <w:r>
        <w:rPr>
          <w:rFonts w:ascii="Calibri" w:hAnsi="Calibri"/>
          <w:color w:val="0B3D91"/>
        </w:rPr>
        <w:t>6.1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4252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1984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Access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/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Landing: hero, features, journey, CTA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/about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Mission, vision, values, timeline, services, contact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/courses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Course catalogue; enrol button when student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/verify/:serial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Public certificate authenticity check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/login, /register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Authentication forms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Public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/dashboard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Student: enrolments, certs, service requests, Pay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Student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sz w:val="19"/>
              </w:rPr>
              <w:t>/admin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sz w:val="19"/>
              </w:rPr>
              <w:t>7-tab admin control centre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sz w:val="19"/>
              </w:rPr>
              <w:t>Admin</w:t>
            </w:r>
          </w:p>
        </w:tc>
      </w:tr>
    </w:tbl>
    <w:p>
      <w:pPr>
        <w:pStyle w:val="Heading2"/>
      </w:pPr>
      <w:r>
        <w:rPr>
          <w:rFonts w:ascii="Calibri" w:hAnsi="Calibri"/>
          <w:color w:val="0B3D91"/>
        </w:rPr>
        <w:t>6.2 Design System</w:t>
      </w:r>
    </w:p>
    <w:p>
      <w:pPr>
        <w:pStyle w:val="ListBullet"/>
      </w:pPr>
      <w:r>
        <w:t>Primary: #0B3D91 (navy). Accent: #C0392B (red). Background: #07080C (near-black).</w:t>
      </w:r>
    </w:p>
    <w:p>
      <w:pPr>
        <w:pStyle w:val="ListBullet"/>
      </w:pPr>
      <w:r>
        <w:t>Typography: Calibri (print) / Barlow-Inter (web); tight 1.05 leading for hero titles.</w:t>
      </w:r>
    </w:p>
    <w:p>
      <w:pPr>
        <w:pStyle w:val="ListBullet"/>
      </w:pPr>
      <w:r>
        <w:t>Components: card, card-glass, btn-primary / accent / outline / ghost, badges (blue, green, amber, red, zinc).</w:t>
      </w:r>
    </w:p>
    <w:p>
      <w:pPr>
        <w:pStyle w:val="ListBullet"/>
      </w:pPr>
      <w:r>
        <w:t>Micro-interactions: fade-up entrance on hero, pulse dot on status indicators, hover scale on CTAs.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7. API Specification</w:t>
      </w:r>
    </w:p>
    <w:p>
      <w:r>
        <w:rPr>
          <w:b w:val="0"/>
          <w:i w:val="0"/>
          <w:color w:val="222222"/>
          <w:sz w:val="22"/>
        </w:rPr>
        <w:t>All routes prefixed with /api. Authentication uses httpOnly cookies — frontend passes withCredentials: true. Error responses follow RFC 7807 structure {detail: &lt;string|list&gt;}.</w:t>
      </w:r>
    </w:p>
    <w:p>
      <w:pPr>
        <w:pStyle w:val="Heading2"/>
      </w:pPr>
      <w:r>
        <w:rPr>
          <w:rFonts w:ascii="Calibri" w:hAnsi="Calibri"/>
          <w:color w:val="0B3D91"/>
        </w:rPr>
        <w:t>7.1 Authentication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 &amp; Path</w:t>
            </w:r>
          </w:p>
        </w:tc>
        <w:tc>
          <w:tcPr>
            <w:tcW w:type="dxa" w:w="28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Body</w:t>
            </w:r>
          </w:p>
        </w:tc>
        <w:tc>
          <w:tcPr>
            <w:tcW w:type="dxa" w:w="3118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POST /api/auth/register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{email, password, name, phone?, id_number?}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User object; cookies set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POST /api/auth/login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{email, password}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User object; cookies set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POST /api/auth/logout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{ok:true}; cookies cleared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GET  /api/auth/me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Current user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POST /api/auth/refresh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sz w:val="19"/>
              </w:rPr>
              <w:t>New access cookie</w:t>
            </w:r>
          </w:p>
        </w:tc>
      </w:tr>
    </w:tbl>
    <w:p>
      <w:pPr>
        <w:pStyle w:val="Heading2"/>
      </w:pPr>
      <w:r>
        <w:rPr>
          <w:rFonts w:ascii="Calibri" w:hAnsi="Calibri"/>
          <w:color w:val="0B3D91"/>
        </w:rPr>
        <w:t>7.2 Courses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402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 &amp; Path</w:t>
            </w:r>
          </w:p>
        </w:tc>
        <w:tc>
          <w:tcPr>
            <w:tcW w:type="dxa" w:w="170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969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GET /api/courses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Public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Active courses only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GET /api/courses/all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Includes archived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POST /api/courses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Create course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PUT /api/courses/{id}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Update/archive</w:t>
            </w:r>
          </w:p>
        </w:tc>
      </w:tr>
      <w:tr>
        <w:tc>
          <w:tcPr>
            <w:tcW w:type="dxa" w:w="3402"/>
            <w:vAlign w:val="center"/>
          </w:tcPr>
          <w:p>
            <w:r/>
            <w:r>
              <w:rPr>
                <w:sz w:val="19"/>
              </w:rPr>
              <w:t>DELETE /api/courses/{id}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sz w:val="19"/>
              </w:rPr>
              <w:t>Soft-archive</w:t>
            </w:r>
          </w:p>
        </w:tc>
      </w:tr>
    </w:tbl>
    <w:p>
      <w:pPr>
        <w:pStyle w:val="Heading2"/>
      </w:pPr>
      <w:r>
        <w:rPr>
          <w:rFonts w:ascii="Calibri" w:hAnsi="Calibri"/>
          <w:color w:val="0B3D91"/>
        </w:rPr>
        <w:t>7.3 Enrolments, Certificates, Services, Payments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68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Method &amp; Path</w:t>
            </w:r>
          </w:p>
        </w:tc>
        <w:tc>
          <w:tcPr>
            <w:tcW w:type="dxa" w:w="170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68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POST /api/enrolments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Student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Enrol in a course (pending)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GET  /api/enrolments/mine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Student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List own enrolments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GET  /api/enrolments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All enrolments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PATCH /api/enrolments/{id}/approve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Move pending → active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PATCH /api/enrolments/{id}/grade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Record marks, auto status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POST /api/certificates/issue/{eid}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Issue cert for completed enrol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GET  /api/certificates/{id}/pdf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Owner/Admin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Download branded PDF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GET  /api/verify/{serial}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Public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Public cert verification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POST /api/vip-requests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Any auth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Create VIP request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POST /api/site-security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Any auth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Create site request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POST /api/payments/checkout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Student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Create Stripe session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GET  /api/payments/status/{sid}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Student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Poll payment status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POST /api/webhook/stripe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Stripe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Webhook handler</w:t>
            </w:r>
          </w:p>
        </w:tc>
      </w:tr>
      <w:tr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GET  /api/admin/stats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Admin</w:t>
            </w:r>
          </w:p>
        </w:tc>
        <w:tc>
          <w:tcPr>
            <w:tcW w:type="dxa" w:w="3685"/>
            <w:vAlign w:val="center"/>
          </w:tcPr>
          <w:p>
            <w:r/>
            <w:r>
              <w:rPr>
                <w:sz w:val="19"/>
              </w:rPr>
              <w:t>KPI summary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8. Security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4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ber_lock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0B3D91"/>
          <w:sz w:val="19"/>
        </w:rPr>
        <w:t>Figure 8.1 – Layered security: at rest, in transit and at access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6236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Password storage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bcrypt (12 rounds) via passlib; never stored plain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Session tokens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JWT in httpOnly, SameSite=Lax cookies; JS cannot read them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Token lifespan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Access 12 h · Refresh 7 d; refresh rotates on use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Brute force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5 failed login attempts / 15-min lockout per IP:email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Role-based access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FastAPI dependency get_current_user + require_admin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Transport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HTTPS end-to-end (TLS 1.2+)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Payment tampering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Amount computed server-side from course.price_zar, not client input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POPIA / PII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ID numbers stored and only exposed to admin; never in public JSON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CORS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Restricted to FRONTEND_URL in production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SQL / NoSQL injection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Parameterised queries; ObjectId validated; no string concat</w:t>
            </w:r>
          </w:p>
        </w:tc>
      </w:tr>
    </w:tbl>
    <w:p>
      <w:pPr>
        <w:jc w:val="center"/>
      </w:pPr>
      <w:r>
        <w:rPr>
          <w:i/>
          <w:color w:val="0B3D91"/>
          <w:sz w:val="19"/>
        </w:rPr>
        <w:t>Table 8.1 – Security control matrix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9. Non-Functional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6236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Availability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≥ 99 % during business hours (Mon-Sat 07:00–19:00 SAST)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Response time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P95 &lt; 400 ms on all authenticated endpoints under 100 RPS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Certificate issue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Complete round-trip &lt; 2 s including PDF generation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Capacity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Supports 5 000 students, 20 000 enrolments, 50 000 certificates without redesign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Scalability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Stateless backend; horizontally scalable behind a load balancer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Accessibility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WCAG 2.1 AA contrast on all text; keyboard-navigable forms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Browser support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Chrome / Edge / Firefox / Safari — last 2 major versions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Mobile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Fully responsive from 320 px upward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Backup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MongoDB daily snapshot, 14-day retention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Audit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sz w:val="19"/>
              </w:rPr>
              <w:t>Every admin mutation logged with timestamp + actor id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10. Technology Stack &amp; Justification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8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4535"/>
            <w:shd w:val="clear" w:color="auto" w:fill="0B3D91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Frontend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React 19 + React Router 7 + Tailwind CSS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Mature ecosystem, component reuse, first-class DX, easily hostable as static files.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Backend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FastAPI (Python 3.11) + Uvicorn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Async out of the box, auto OpenAPI docs, strong Pydantic validation.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Database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MongoDB 6 + motor (async driver)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Flexible schema for evolving business rules; free-tier cloud hosting via Atlas.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Auth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PyJWT + bcrypt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Widely audited; cookie-based pattern matches SPA use.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Payments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Stripe Checkout (test mode)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Industry standard; ZAR supported; no card data ever touches our servers.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PDF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ReportLab + qrcode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Server-side PDF with QR code; open source.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Hosting plan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Afrihost cPanel (Python+Node) or Emergent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Local SA hosting, low latency to Limpopo; affordable.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sz w:val="19"/>
              </w:rPr>
              <w:t>DevOps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sz w:val="19"/>
              </w:rPr>
              <w:t>GitHub + GitHub Actions (deferred)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sz w:val="19"/>
              </w:rPr>
              <w:t>Source control + CI/CD ready for a follow-up sprint.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11. Design Assumptions &amp; Constraints</w:t>
      </w:r>
    </w:p>
    <w:p>
      <w:pPr>
        <w:pStyle w:val="ListBullet"/>
      </w:pPr>
      <w:r>
        <w:t>Certificates are ONLY issued for enrolments whose overall mark ≥ 50 %.</w:t>
      </w:r>
    </w:p>
    <w:p>
      <w:pPr>
        <w:pStyle w:val="ListBullet"/>
      </w:pPr>
      <w:r>
        <w:t>Students may hold multiple enrolments but only one active enrolment per course at a time.</w:t>
      </w:r>
    </w:p>
    <w:p>
      <w:pPr>
        <w:pStyle w:val="ListBullet"/>
      </w:pPr>
      <w:r>
        <w:t>Service request status machine: pending → (approved | rejected); no resubmission on rejection (must create a new request).</w:t>
      </w:r>
    </w:p>
    <w:p>
      <w:pPr>
        <w:pStyle w:val="ListBullet"/>
      </w:pPr>
      <w:r>
        <w:t>All monetary values are in South African Rand (ZAR).</w:t>
      </w:r>
    </w:p>
    <w:p>
      <w:pPr>
        <w:pStyle w:val="ListBullet"/>
      </w:pPr>
      <w:r>
        <w:t>Email notifications are deferred to a follow-up iteration; client approval captured in meeting minutes dated 22 April 2026.</w:t>
      </w:r>
    </w:p>
    <w:p>
      <w:pPr>
        <w:pStyle w:val="ListBullet"/>
      </w:pPr>
      <w:r>
        <w:t>Prices are stored on the course document; historical price at time of enrolment is captured on the payment_transactions record for auditing.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B3D91"/>
        </w:rPr>
        <w:t>12. Conclusion</w:t>
      </w:r>
    </w:p>
    <w:p>
      <w:r>
        <w:rPr>
          <w:b w:val="0"/>
          <w:i w:val="0"/>
          <w:color w:val="222222"/>
          <w:sz w:val="22"/>
        </w:rPr>
        <w:t>This Design Document provides the technical backbone needed to implement the MJSCYBER Security School Web App to the agreed scope, budget and timeline. The architecture is deliberately simple and production-ready, built on mature, well-supported open-source technologies. The next step (Task 3) demonstrates that the implementation faithfully realises this design.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