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  <w:jc w:val="center"/>
      </w:pPr>
      <w:r>
        <w:rPr>
          <w:rFonts w:ascii="맑은 고딕" w:cs="맑은 고딕" w:eastAsia="맑은 고딕" w:hAnsi="맑은 고딕"/>
          <w:b/>
          <w:bCs/>
          <w:sz w:val="34"/>
          <w:szCs w:val="34"/>
        </w:rPr>
        <w:t xml:space="preserve">입찰공고(안) 평가기준 관련 의견서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수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부산광역시 ○○○○ ○○과(팀) 귀중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발  신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○○○○○○ (대표 ○○○)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일  자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2026. ○○. ○○.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건  명 :  </w:t>
      </w:r>
      <w:r>
        <w:rPr>
          <w:rFonts w:ascii="맑은 고딕" w:cs="맑은 고딕" w:eastAsia="맑은 고딕" w:hAnsi="맑은 고딕"/>
          <w:sz w:val="21"/>
          <w:szCs w:val="21"/>
        </w:rPr>
        <w:t xml:space="preserve">대저수문 수문권양기 구매(제조) 입찰공고(안) 계약이행능력심사 납품실적 평가기준 의견</w:t>
      </w:r>
    </w:p>
    <w:p>
      <w:pPr>
        <w:pBdr>
          <w:bottom w:val="single" w:color="000000" w:sz="8" w:space="1"/>
        </w:pBdr>
        <w:spacing w:after="20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1. 의견 요청 사항</w:t>
      </w:r>
    </w:p>
    <w:p>
      <w:pPr>
        <w:spacing w:after="14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입찰공고 시 계약이행능력심사의 납품실적 평가기준(동등이상 물품·유사물품)을 아래와 같이 공고에 명시하여 주실 것을 요청드립니다.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800"/>
        <w:gridCol w:w="3900"/>
        <w:gridCol w:w="926"/>
      </w:tblGrid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금액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요청 평가기준</w:t>
            </w:r>
          </w:p>
        </w:tc>
        <w:tc>
          <w:tcPr>
            <w:tcW w:type="dxa" w:w="9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배점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(동등이상 물품)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9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5.0</w:t>
            </w:r>
          </w:p>
        </w:tc>
      </w:tr>
      <w:tr>
        <w:tc>
          <w:tcPr>
            <w:tcW w:type="dxa" w:w="24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최근 5년 이내 납품실적 (유사물품)</w:t>
            </w:r>
          </w:p>
        </w:tc>
        <w:tc>
          <w:tcPr>
            <w:tcW w:type="dxa" w:w="18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납품실적/추정가격</w:t>
            </w:r>
          </w:p>
        </w:tc>
        <w:tc>
          <w:tcPr>
            <w:tcW w:type="dxa" w:w="39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9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1.5</w:t>
            </w:r>
          </w:p>
        </w:tc>
      </w:tr>
    </w:tbl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2. 요청 사유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가. 납품실적 평가기준은 계약담당자가 입찰공고에 명시하도록 되어 있으므로(중소벤처기업부고시 제2026-80호 제6조제2항제1호가목), 동등이상 물품과 유사물품의 범위를 공고문에 구체적으로 정하는 것이 평가의 객관성과 투명성 확보에 필요합니다.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나. 동등이상 물품은 성능·품질이 입찰대상 물품 이상인 것, 유사물품은 동일 종류로서 성능·품질이 동등 미만인 것으로 정의하고 있습니다(같은 고시 [별표 1] 주석). 이에 따라 입찰대상 물품의 규모(대당 개폐용량 70톤)와 형식(와이어로프식)을 기준으로 동등이상 물품을 정하고, 그에 미치지 못하는 동일 종류 수문권양기를 유사물품으로 구분하는 것이 고시의 취지에 부합합니다.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다. 유사물품의 형식을 와이어로프식, 유압식, 랙피니언식 등으로 열거하면 수문권양기 전반의 납품실적이 합리적으로 평가되어 특정 형식에 대한 편중 없이 공정한 경쟁이 가능합니다.</w:t>
      </w:r>
    </w:p>
    <w:p>
      <w:pPr>
        <w:spacing w:after="120"/>
      </w:pPr>
    </w:p>
    <w:p>
      <w:pPr>
        <w:spacing w:after="100" w:line="32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3. 붙임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1. 평가기준(안) 비교표 1부</w:t>
      </w:r>
    </w:p>
    <w:p>
      <w:pPr>
        <w:spacing w:after="100" w:line="320"/>
      </w:pPr>
      <w:r>
        <w:rPr>
          <w:rFonts w:ascii="맑은 고딕" w:cs="맑은 고딕" w:eastAsia="맑은 고딕" w:hAnsi="맑은 고딕"/>
          <w:sz w:val="21"/>
          <w:szCs w:val="21"/>
        </w:rPr>
        <w:t xml:space="preserve">붙임 2. 관련 고시 요지 1부.  끝.</w:t>
      </w:r>
    </w:p>
    <w:p>
      <w:pPr>
        <w:spacing w:before="300"/>
        <w:jc w:val="center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○○○○○○  대표  ○ ○ ○  (인)</w:t>
      </w:r>
    </w:p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1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평가기준(안) 비교표 — 납품실적(최근 5년 이내, 금액: 납품실적/추정가격)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663"/>
        <w:gridCol w:w="3663"/>
      </w:tblGrid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구분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1안 (요청)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2안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 (5.0점)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이상이며, 와이어로프식 수문권양기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와이어로프식 수문권양기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유사물품 (1.5점)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대당 개폐용량 70톤 미만인 수문권양기(와이어로프식, 유압식, 랙피니언식 등)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수문권양기(유압식, 랙피니언식 등)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고시 [별표 1] 주석과의 부합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동등이상을 입찰대상 규모(70톤 이상) 이상으로 한정하여 "성능·품질이 입찰대상 이상"이라는 정의에 부합. 동일 종류의 소규모 실적은 유사물품으로 평가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입찰대상보다 작은 와이어로프식도 동등이상으로 평가되어 "입찰대상 이상" 정의와 맞지 않을 소지</w:t>
            </w:r>
          </w:p>
        </w:tc>
      </w:tr>
      <w:tr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평가의 명확성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규모·형식 기준이 모두 명시되어 평가 시 해석 여지가 적음</w:t>
            </w:r>
          </w:p>
        </w:tc>
        <w:tc>
          <w:tcPr>
            <w:tcW w:type="dxa" w:w="3663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규모 기준이 없어 동등이상 해당 범위가 넓고, 변별력이 낮아질 수 있음</w:t>
            </w:r>
          </w:p>
        </w:tc>
      </w:tr>
    </w:tbl>
    <w:p>
      <w:pPr>
        <w:pageBreakBefore/>
        <w:spacing w:after="200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붙임 2</w:t>
      </w:r>
    </w:p>
    <w:p>
      <w:pPr>
        <w:spacing w:after="160"/>
      </w:pPr>
      <w:r>
        <w:rPr>
          <w:rFonts w:ascii="맑은 고딕" w:cs="맑은 고딕" w:eastAsia="맑은 고딕" w:hAnsi="맑은 고딕"/>
          <w:b/>
          <w:bCs/>
          <w:sz w:val="23"/>
          <w:szCs w:val="23"/>
        </w:rPr>
        <w:t xml:space="preserve">관련 고시 요지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6726"/>
      </w:tblGrid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근거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9E2F3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요지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중소벤처기업부고시 제2026-80호 제6조제1항제1호 나목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납품실적은 최근 5년 기준이며, 입찰공고에 명시한 경우 조정하여 적용할 수 있음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제6조제2항제1호 가목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납품실적 평가의 동등이상 물품·유사물품의 평가기준은 계약담당자가 공고에 명시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주석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동등이상 물품은 성능·품질이 입찰대상 물품 이상인 것, 유사물품은 동일 종류로서 성능·품질이 동등 미만인 것</w:t>
            </w:r>
          </w:p>
        </w:tc>
      </w:tr>
      <w:tr>
        <w:tc>
          <w:tcPr>
            <w:tcW w:type="dxa" w:w="2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같은 고시 [별표 1] 배점</w:t>
            </w:r>
          </w:p>
        </w:tc>
        <w:tc>
          <w:tcPr>
            <w:tcW w:type="dxa" w:w="67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20"/>
                <w:szCs w:val="20"/>
              </w:rPr>
              <w:t xml:space="preserve">10억원 이상 계약: 납품실적 5점 / 기술능력 10점 / 경영상태 30점 / 입찰가격 55점</w:t>
            </w:r>
          </w:p>
        </w:tc>
      </w:tr>
    </w:tbl>
    <w:p>
      <w:pPr>
        <w:spacing w:before="160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※ 위 내용은 요지이며, 정확한 문언은 고시 원문(법령정보센터 게재)을 따릅니다.</w:t>
      </w:r>
    </w:p>
    <w:sectPr>
      <w:pgSz w:w="11906" w:h="16838" w:orient="portrait"/>
      <w:pgMar w:top="13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2026-10-26T09:06:28.684Z</dcterms:created>
  <dcterms:modified xsi:type="dcterms:W3CDTF">2026-10-26T09:06:28.684Z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