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수신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부산광역시 건설본부장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참조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건설시설부장(기계2팀장)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일자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2026. 10. 27.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건명 : </w:t>
      </w: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대저수문 수문권양기 구매 입찰공고(안) 관련 검토의견서 제출</w:t>
      </w:r>
    </w:p>
    <w:p>
      <w:pPr>
        <w:spacing w:after="120"/>
      </w:pPr>
    </w:p>
    <w:p>
      <w:pPr>
        <w:spacing w:after="80" w:line="290"/>
        <w:ind w:left="3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1.	어려운 우리 부산의 지역경제활성화를 위하여 노력하시는 귀 건설본부의 무궁한 발전을 기원합니다.</w:t>
      </w:r>
    </w:p>
    <w:p>
      <w:pPr>
        <w:spacing w:after="80" w:line="290"/>
        <w:ind w:left="3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2.	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spacing w:after="80" w:line="290"/>
        <w:ind w:left="3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3.	건의요청 내용</w:t>
      </w:r>
    </w:p>
    <w:p>
      <w:pPr>
        <w:spacing w:after="80" w:line="290"/>
        <w:ind w:left="900" w:hanging="540"/>
        <w:jc w:val="both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	입찰참가자격(실적제한)</w:t>
      </w:r>
    </w:p>
    <w:p>
      <w:pPr>
        <w:spacing w:after="80" w:line="290"/>
        <w:ind w:left="900" w:hanging="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「지방자치단체를 당사자로 하는 계약에 관한 법률 시행령」 제20조제1항제3호에 따라 제한사항과 기준을 입찰공고에 명시하여 주시고, 실적 기간은 「지방자치단체 입찰 및 계약 집행기준」(행정안전부예규)에 따라 특별한 사유가 없는 한 입찰공고일 전일까지 검사가 완료된 최근 10년 이내의 실적으로 하여 주시기 바랍니다.</w:t>
      </w:r>
    </w:p>
    <w:p>
      <w:pPr>
        <w:spacing w:after="80" w:line="290"/>
        <w:ind w:left="900" w:hanging="540"/>
        <w:jc w:val="both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	계약이행능력심사 납품실적 평가기준</w:t>
      </w:r>
    </w:p>
    <w:p>
      <w:pPr>
        <w:spacing w:after="80" w:line="290"/>
        <w:ind w:left="900" w:hanging="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12"/>
              <w:left w:val="single" w:color="000000" w:sz="12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12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12"/>
              <w:left w:val="single" w:color="808080" w:sz="4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</w:tr>
    </w:tbl>
    <w:p>
      <w:pPr>
        <w:spacing w:after="80"/>
      </w:pPr>
    </w:p>
    <w:p>
      <w:pPr>
        <w:spacing w:after="80" w:line="290"/>
        <w:ind w:left="900" w:hanging="540"/>
        <w:jc w:val="both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	요청 사유</w:t>
      </w:r>
    </w:p>
    <w:p>
      <w:pPr>
        <w:spacing w:after="80" w:line="290"/>
        <w:ind w:left="12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1)	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spacing w:after="80" w:line="290"/>
        <w:ind w:left="12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2)	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spacing w:after="80" w:line="290"/>
        <w:ind w:left="12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3)	유사물품의 형식을 와이어로프식, 유압식, 랙피니언식 등으로 열거하면 수문권양기 전반의 실적이 합리적으로 평가되어 공정한 경쟁이 가능합니다.</w:t>
      </w:r>
    </w:p>
    <w:p>
      <w:pPr>
        <w:spacing w:after="80"/>
      </w:pPr>
    </w:p>
    <w:p>
      <w:pPr>
        <w:spacing w:after="80" w:line="290"/>
        <w:ind w:left="900" w:hanging="90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spacing w:after="80" w:line="290"/>
        <w:ind w:left="900" w:hanging="90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병 화  (직인 생략)</w:t>
      </w:r>
    </w:p>
    <w:p>
      <w:pPr>
        <w:spacing w:before="10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담당자 : 조창현 이사 (연락처 010-9392-9397)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12"/>
              <w:left w:val="single" w:color="000000" w:sz="12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spacing w:after="160" w:before="36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2026-10-26T23:09:14.793Z</dcterms:created>
  <dcterms:modified xsi:type="dcterms:W3CDTF">2026-10-26T23:09:14.793Z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