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ind w:left="1000" w:hanging="1000"/>
      </w:pPr>
      <w:r>
        <w:rPr>
          <w:rFonts w:ascii="맑은 고딕" w:cs="맑은 고딕" w:eastAsia="맑은 고딕" w:hAnsi="맑은 고딕"/>
          <w:sz w:val="27"/>
          <w:szCs w:val="27"/>
        </w:rPr>
        <w:t xml:space="preserve">수신 : </w:t>
      </w:r>
      <w:r>
        <w:rPr>
          <w:rFonts w:ascii="맑은 고딕" w:cs="맑은 고딕" w:eastAsia="맑은 고딕" w:hAnsi="맑은 고딕"/>
          <w:b w:val="false"/>
          <w:bCs w:val="false"/>
          <w:sz w:val="27"/>
          <w:szCs w:val="27"/>
        </w:rPr>
        <w:t xml:space="preserve">부산광역시 건설본부장</w:t>
      </w:r>
    </w:p>
    <w:p>
      <w:pPr>
        <w:spacing w:after="70"/>
        <w:ind w:left="1000" w:hanging="1000"/>
      </w:pPr>
      <w:r>
        <w:rPr>
          <w:rFonts w:ascii="맑은 고딕" w:cs="맑은 고딕" w:eastAsia="맑은 고딕" w:hAnsi="맑은 고딕"/>
          <w:sz w:val="27"/>
          <w:szCs w:val="27"/>
        </w:rPr>
        <w:t xml:space="preserve">참조 : </w:t>
      </w:r>
      <w:r>
        <w:rPr>
          <w:rFonts w:ascii="맑은 고딕" w:cs="맑은 고딕" w:eastAsia="맑은 고딕" w:hAnsi="맑은 고딕"/>
          <w:b w:val="false"/>
          <w:bCs w:val="false"/>
          <w:sz w:val="27"/>
          <w:szCs w:val="27"/>
        </w:rPr>
        <w:t xml:space="preserve">건설시설부장(기계2팀장)</w:t>
      </w:r>
    </w:p>
    <w:p>
      <w:pPr>
        <w:spacing w:after="70"/>
        <w:ind w:left="1000" w:hanging="1000"/>
      </w:pPr>
      <w:r>
        <w:rPr>
          <w:rFonts w:ascii="맑은 고딕" w:cs="맑은 고딕" w:eastAsia="맑은 고딕" w:hAnsi="맑은 고딕"/>
          <w:sz w:val="27"/>
          <w:szCs w:val="27"/>
        </w:rPr>
        <w:t xml:space="preserve">일자 : </w:t>
      </w:r>
      <w:r>
        <w:rPr>
          <w:rFonts w:ascii="맑은 고딕" w:cs="맑은 고딕" w:eastAsia="맑은 고딕" w:hAnsi="맑은 고딕"/>
          <w:b w:val="false"/>
          <w:bCs w:val="false"/>
          <w:sz w:val="27"/>
          <w:szCs w:val="27"/>
        </w:rPr>
        <w:t xml:space="preserve">2026. 10. 27.</w:t>
      </w:r>
    </w:p>
    <w:p>
      <w:pPr>
        <w:spacing w:after="70"/>
        <w:ind w:left="1000" w:hanging="1000"/>
      </w:pPr>
      <w:r>
        <w:rPr>
          <w:rFonts w:ascii="맑은 고딕" w:cs="맑은 고딕" w:eastAsia="맑은 고딕" w:hAnsi="맑은 고딕"/>
          <w:sz w:val="27"/>
          <w:szCs w:val="27"/>
        </w:rPr>
        <w:t xml:space="preserve">건명 : </w:t>
      </w:r>
      <w:r>
        <w:rPr>
          <w:rFonts w:ascii="맑은 고딕" w:cs="맑은 고딕" w:eastAsia="맑은 고딕" w:hAnsi="맑은 고딕"/>
          <w:b/>
          <w:bCs/>
          <w:sz w:val="27"/>
          <w:szCs w:val="27"/>
        </w:rPr>
        <w:t xml:space="preserve">대저수문 수문권양기 구매 입찰공고(안) 관련 검토의견서 제출</w:t>
      </w:r>
    </w:p>
    <w:p>
      <w:pPr>
        <w:spacing w:after="120"/>
      </w:pPr>
    </w:p>
    <w:p>
      <w:pPr>
        <w:spacing w:after="80" w:line="290"/>
        <w:ind w:left="360" w:hanging="360"/>
        <w:jc w:val="both"/>
      </w:pPr>
      <w:r>
        <w:rPr>
          <w:rFonts w:ascii="맑은 고딕" w:cs="맑은 고딕" w:eastAsia="맑은 고딕" w:hAnsi="맑은 고딕"/>
          <w:sz w:val="21"/>
          <w:szCs w:val="21"/>
        </w:rPr>
        <w:t xml:space="preserve">1.	어려운 우리 부산의 지역경제활성화를 위하여 노력하시는 귀 건설본부의 무궁한 발전을 기원합니다.</w:t>
      </w:r>
    </w:p>
    <w:p>
      <w:pPr>
        <w:spacing w:after="80" w:line="290"/>
        <w:ind w:left="360" w:hanging="360"/>
        <w:jc w:val="both"/>
      </w:pPr>
      <w:r>
        <w:rPr>
          <w:rFonts w:ascii="맑은 고딕" w:cs="맑은 고딕" w:eastAsia="맑은 고딕" w:hAnsi="맑은 고딕"/>
          <w:sz w:val="21"/>
          <w:szCs w:val="21"/>
        </w:rPr>
        <w:t xml:space="preserve">2.	금회 발주예정인 대저수문 수문권양기 구매와 관련하여 우리 부산지역업체 입찰 참여기회 확대를 위하여 다음과 같이 검토의견서를 제출하오니 적극 검토하여 주시길 간곡히 요청드립니다.</w:t>
      </w:r>
    </w:p>
    <w:p>
      <w:pPr>
        <w:spacing w:after="80" w:line="290"/>
        <w:ind w:left="360" w:hanging="360"/>
        <w:jc w:val="both"/>
      </w:pPr>
      <w:r>
        <w:rPr>
          <w:rFonts w:ascii="맑은 고딕" w:cs="맑은 고딕" w:eastAsia="맑은 고딕" w:hAnsi="맑은 고딕"/>
          <w:sz w:val="21"/>
          <w:szCs w:val="21"/>
        </w:rPr>
        <w:t xml:space="preserve">3.	건의요청 내용</w:t>
      </w:r>
    </w:p>
    <w:p>
      <w:pPr>
        <w:spacing w:after="80" w:line="290"/>
        <w:ind w:left="900" w:hanging="540"/>
        <w:jc w:val="both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가.	입찰참가자격(실적제한)</w:t>
      </w:r>
    </w:p>
    <w:p>
      <w:pPr>
        <w:spacing w:after="80" w:line="290"/>
        <w:ind w:left="900" w:hanging="0"/>
        <w:jc w:val="both"/>
      </w:pPr>
      <w:r>
        <w:rPr>
          <w:rFonts w:ascii="맑은 고딕" w:cs="맑은 고딕" w:eastAsia="맑은 고딕" w:hAnsi="맑은 고딕"/>
          <w:sz w:val="21"/>
          <w:szCs w:val="21"/>
        </w:rPr>
        <w:t xml:space="preserve">입찰참가자격을 제한하는 경우 「지방자치단체를 당사자로 하는 계약에 관한 법률 시행령」 제20조제1항제3호에 따라 제한사항과 기준을 입찰공고에 명시하여 주시고, 실적 기간은 「지방자치단체 입찰 및 계약 집행기준」(행정안전부예규)에 따라 특별한 사유가 없는 한 입찰공고일 전일까지 검사가 완료된 최근 10년 이내의 실적으로 하여 주시기 바랍니다.</w:t>
      </w:r>
    </w:p>
    <w:p>
      <w:pPr>
        <w:spacing w:after="80" w:line="290"/>
        <w:ind w:left="900" w:hanging="540"/>
        <w:jc w:val="both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나.	계약이행능력심사 납품실적 평가기준</w:t>
      </w:r>
    </w:p>
    <w:p>
      <w:pPr>
        <w:spacing w:after="80" w:line="290"/>
        <w:ind w:left="900" w:hanging="0"/>
        <w:jc w:val="both"/>
      </w:pPr>
      <w:r>
        <w:rPr>
          <w:rFonts w:ascii="맑은 고딕" w:cs="맑은 고딕" w:eastAsia="맑은 고딕" w:hAnsi="맑은 고딕"/>
          <w:sz w:val="21"/>
          <w:szCs w:val="21"/>
        </w:rPr>
        <w:t xml:space="preserve">납품실적(최근 5년 이내) 평가기준을 아래와 같이 입찰공고에 명시하여 주시기 바랍니다.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426"/>
      </w:tblGrid>
      <w:tr>
        <w:tc>
          <w:tcPr>
            <w:tcW w:type="dxa" w:w="2600"/>
            <w:tcBorders>
              <w:top w:val="single" w:color="000000" w:sz="12"/>
              <w:left w:val="single" w:color="000000" w:sz="12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000"/>
            <w:tcBorders>
              <w:top w:val="single" w:color="000000" w:sz="12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금액</w:t>
            </w:r>
          </w:p>
        </w:tc>
        <w:tc>
          <w:tcPr>
            <w:tcW w:type="dxa" w:w="4426"/>
            <w:tcBorders>
              <w:top w:val="single" w:color="000000" w:sz="12"/>
              <w:left w:val="single" w:color="808080" w:sz="4"/>
              <w:bottom w:val="single" w:color="808080" w:sz="4"/>
              <w:right w:val="single" w:color="000000" w:sz="12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요청 평가기준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000000" w:sz="12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최근 5년 이내 납품실적 (동등이상 물품)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납품실적/추정가격</w:t>
            </w:r>
          </w:p>
        </w:tc>
        <w:tc>
          <w:tcPr>
            <w:tcW w:type="dxa" w:w="4426"/>
            <w:tcBorders>
              <w:top w:val="single" w:color="808080" w:sz="4"/>
              <w:left w:val="single" w:color="808080" w:sz="4"/>
              <w:bottom w:val="single" w:color="808080" w:sz="4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대당 개폐용량 70톤 이상이며, 와이어로프식 수문권양기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000000" w:sz="12"/>
              <w:bottom w:val="single" w:color="000000" w:sz="12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최근 5년 이내 납품실적 (유사물품)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000000" w:sz="12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납품실적/추정가격</w:t>
            </w:r>
          </w:p>
        </w:tc>
        <w:tc>
          <w:tcPr>
            <w:tcW w:type="dxa" w:w="4426"/>
            <w:tcBorders>
              <w:top w:val="single" w:color="808080" w:sz="4"/>
              <w:left w:val="single" w:color="808080" w:sz="4"/>
              <w:bottom w:val="single" w:color="000000" w:sz="12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대당 개폐용량 70톤 미만인 수문권양기</w:t>
            </w: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br/>
              <w:t xml:space="preserve">(와이어로프식, 유압식, 랙피니언식 등)</w:t>
            </w:r>
          </w:p>
        </w:tc>
      </w:tr>
    </w:tbl>
    <w:p>
      <w:pPr>
        <w:spacing w:after="80"/>
      </w:pPr>
    </w:p>
    <w:p>
      <w:pPr>
        <w:spacing w:after="80" w:line="290"/>
        <w:ind w:left="900" w:hanging="540"/>
        <w:jc w:val="both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다.	요청 사유</w:t>
      </w:r>
    </w:p>
    <w:p>
      <w:pPr>
        <w:spacing w:after="80" w:line="290"/>
        <w:ind w:left="1260" w:hanging="360"/>
        <w:jc w:val="both"/>
      </w:pPr>
      <w:r>
        <w:rPr>
          <w:rFonts w:ascii="맑은 고딕" w:cs="맑은 고딕" w:eastAsia="맑은 고딕" w:hAnsi="맑은 고딕"/>
          <w:sz w:val="21"/>
          <w:szCs w:val="21"/>
        </w:rPr>
        <w:t xml:space="preserve">1)	평가기준은 계약담당자가 공고에 명시하도록 되어 있으므로(중소벤처기업부고시 제2026-80호 제6조제2항제1호가목) 동등이상 물품과 유사물품의 범위를 구체적으로 정하는 것이 평가의 객관성 확보에 필요합니다.</w:t>
      </w:r>
    </w:p>
    <w:p>
      <w:pPr>
        <w:spacing w:after="80" w:line="290"/>
        <w:ind w:left="1260" w:hanging="360"/>
        <w:jc w:val="both"/>
      </w:pPr>
      <w:r>
        <w:rPr>
          <w:rFonts w:ascii="맑은 고딕" w:cs="맑은 고딕" w:eastAsia="맑은 고딕" w:hAnsi="맑은 고딕"/>
          <w:sz w:val="21"/>
          <w:szCs w:val="21"/>
        </w:rPr>
        <w:t xml:space="preserve">2)	동등이상 물품은 성능·품질이 입찰대상 이상인 것, 유사물품은 동일 종류로서 성능·품질이 동등 미만인 것으로 정의되어 있으므로(같은 고시 [별표 1] 주석), 입찰대상의 규모(70톤)와 형식(와이어로프식)을 기준으로 구분하는 것이 고시 취지에 부합합니다.</w:t>
      </w:r>
    </w:p>
    <w:p>
      <w:pPr>
        <w:spacing w:after="80" w:line="290"/>
        <w:ind w:left="1260" w:hanging="360"/>
        <w:jc w:val="both"/>
      </w:pPr>
      <w:r>
        <w:rPr>
          <w:rFonts w:ascii="맑은 고딕" w:cs="맑은 고딕" w:eastAsia="맑은 고딕" w:hAnsi="맑은 고딕"/>
          <w:sz w:val="21"/>
          <w:szCs w:val="21"/>
        </w:rPr>
        <w:t xml:space="preserve">3)	유사물품의 형식을 와이어로프식, 유압식, 랙피니언식 등으로 열거하면 수문권양기 전반의 실적이 합리적으로 평가되어 공정한 경쟁이 가능합니다.</w:t>
      </w:r>
    </w:p>
    <w:p>
      <w:pPr>
        <w:spacing w:after="80"/>
      </w:pPr>
    </w:p>
    <w:p>
      <w:pPr>
        <w:spacing w:after="80" w:line="290"/>
        <w:ind w:left="900" w:hanging="900"/>
        <w:jc w:val="both"/>
      </w:pPr>
      <w:r>
        <w:rPr>
          <w:rFonts w:ascii="맑은 고딕" w:cs="맑은 고딕" w:eastAsia="맑은 고딕" w:hAnsi="맑은 고딕"/>
          <w:sz w:val="21"/>
          <w:szCs w:val="21"/>
        </w:rPr>
        <w:t xml:space="preserve">붙임	1. 평가기준(안) 비교표 1부</w:t>
      </w:r>
    </w:p>
    <w:p>
      <w:pPr>
        <w:spacing w:after="80" w:line="290"/>
        <w:ind w:left="900" w:hanging="900"/>
        <w:jc w:val="both"/>
      </w:pPr>
      <w:r>
        <w:rPr>
          <w:rFonts w:ascii="맑은 고딕" w:cs="맑은 고딕" w:eastAsia="맑은 고딕" w:hAnsi="맑은 고딕"/>
          <w:sz w:val="21"/>
          <w:szCs w:val="21"/>
        </w:rPr>
        <w:t xml:space="preserve">	2. 관련 고시 요지 1부.  끝.</w:t>
      </w:r>
    </w:p>
    <w:p>
      <w:pPr>
        <w:spacing w:before="240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동아정밀공업사 대표  윤 병 화  (직인 생략)</w:t>
      </w:r>
    </w:p>
    <w:p>
      <w:pPr>
        <w:spacing w:before="100"/>
        <w:jc w:val="center"/>
      </w:pPr>
      <w:r>
        <w:rPr>
          <w:rFonts w:ascii="맑은 고딕" w:cs="맑은 고딕" w:eastAsia="맑은 고딕" w:hAnsi="맑은 고딕"/>
          <w:sz w:val="21"/>
          <w:szCs w:val="21"/>
        </w:rPr>
        <w:t xml:space="preserve">담당자 : 조창현 이사 (연락처 010-9392-9397)</w:t>
      </w:r>
    </w:p>
    <w:p>
      <w:pPr>
        <w:pageBreakBefore/>
        <w:spacing w:after="2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붙임 1</w:t>
      </w:r>
    </w:p>
    <w:p>
      <w:pPr>
        <w:spacing w:after="1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평가기준(안) 비교표 — 납품실적(최근 5년 이내, 금액: 납품실적/추정가격)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63"/>
        <w:gridCol w:w="3663"/>
      </w:tblGrid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3663"/>
            <w:tcBorders>
              <w:top w:val="single" w:color="000000" w:sz="12"/>
              <w:left w:val="single" w:color="000000" w:sz="12"/>
              <w:bottom w:val="single" w:color="808080" w:sz="4"/>
              <w:right w:val="single" w:color="000000" w:sz="12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1안 (요청)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2안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동등이상 물품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12"/>
              <w:bottom w:val="single" w:color="808080" w:sz="4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대당 개폐용량 70톤 이상이며, 와이어로프식 수문권양기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와이어로프식 수문권양기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유사물품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12"/>
              <w:bottom w:val="single" w:color="808080" w:sz="4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대당 개폐용량 70톤 미만인 수문권양기
(와이어로프식, 유압식, 랙피니언식 등)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수문권양기(유압식, 랙피니언식 등)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고시 [별표 1] 주석과의 부합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12"/>
              <w:bottom w:val="single" w:color="808080" w:sz="4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동등이상을 입찰대상 규모(70톤 이상) 이상으로 한정하여 "성능·품질이 입찰대상 이상"이라는 정의에 부합. 동일 종류의 소규모 실적은 유사물품으로 평가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규모 기준이 없어 입찰대상보다 작은 와이어로프식도 동등이상으로 평가되어 "입찰대상 이상" 정의와 맞지 않을 소지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평가의 명확성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12"/>
              <w:bottom w:val="single" w:color="000000" w:sz="12"/>
              <w:right w:val="single" w:color="000000" w:sz="1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규모·형식 기준이 모두 명시되어 평가 시 해석 여지가 적음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규모 기준이 없어 동등이상 해당 범위가 넓고, 변별력이 낮아질 수 있음</w:t>
            </w:r>
          </w:p>
        </w:tc>
      </w:tr>
    </w:tbl>
    <w:p>
      <w:pPr>
        <w:spacing w:after="160" w:before="36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붙임 2</w:t>
      </w:r>
    </w:p>
    <w:p>
      <w:pPr>
        <w:spacing w:after="1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관련 고시 요지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근거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요지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중소벤처기업부고시 제2026-80호 제6조제1항제1호 나목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납품실적은 최근 5년 기준이며, 입찰공고에 명시한 경우 조정하여 적용할 수 있음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지방계약법 시행령 제20조제1항제3호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특수한 설비·기술이 요구되는 물품제조는 같은 종류의 물품제조실적으로 제한할 수 있으며, 제한사항·기준은 공고에 명시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지방자치단체 입찰 및 계약 집행기준(행안부예규 제372호)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특별한 사유가 없는 한 입찰공고일 전일까지 검사가 완료된 최근 10년 이내 실적으로 제한(물품은 공사 준용)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같은 고시 제6조제2항제1호 가목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 평가의 동등이상 물품·유사물품의 평가기준은 계약담당자가 공고에 명시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같은 고시 [별표 1] 주석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동등이상 물품은 성능·품질이 입찰대상 물품 이상인 것, 유사물품은 동일 종류로서 성능·품질이 동등 미만인 것</w:t>
            </w:r>
          </w:p>
        </w:tc>
      </w:tr>
    </w:tbl>
    <w:p>
      <w:pPr>
        <w:spacing w:before="160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※ 위 내용은 요지이며, 정확한 문언은 고시 원문(법령정보센터 게재)을 따릅니다.</w:t>
      </w:r>
    </w:p>
    <w:sectPr>
      <w:pgSz w:w="11906" w:h="16838" w:orient="portrait"/>
      <w:pgMar w:top="1000" w:right="1440" w:bottom="8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2026-10-26T23:09:45.546Z</dcterms:created>
  <dcterms:modified xsi:type="dcterms:W3CDTF">2026-10-26T23:09:45.547Z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