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ind w:left="900" w:hanging="900"/>
      </w:pPr>
      <w:r>
        <w:rPr>
          <w:rFonts w:ascii="맑은 고딕" w:cs="맑은 고딕" w:eastAsia="맑은 고딕" w:hAnsi="맑은 고딕"/>
          <w:sz w:val="23"/>
          <w:szCs w:val="23"/>
        </w:rPr>
        <w:t xml:space="preserve">수신 : </w:t>
      </w:r>
      <w:r>
        <w:rPr>
          <w:rFonts w:ascii="맑은 고딕" w:cs="맑은 고딕" w:eastAsia="맑은 고딕" w:hAnsi="맑은 고딕"/>
          <w:sz w:val="23"/>
          <w:szCs w:val="23"/>
        </w:rPr>
        <w:t xml:space="preserve">부산광역시 건설본부장</w:t>
      </w:r>
    </w:p>
    <w:p>
      <w:pPr>
        <w:spacing w:after="60"/>
        <w:ind w:left="900" w:hanging="900"/>
      </w:pPr>
      <w:r>
        <w:rPr>
          <w:rFonts w:ascii="맑은 고딕" w:cs="맑은 고딕" w:eastAsia="맑은 고딕" w:hAnsi="맑은 고딕"/>
          <w:sz w:val="23"/>
          <w:szCs w:val="23"/>
        </w:rPr>
        <w:t xml:space="preserve">참조 : </w:t>
      </w:r>
      <w:r>
        <w:rPr>
          <w:rFonts w:ascii="맑은 고딕" w:cs="맑은 고딕" w:eastAsia="맑은 고딕" w:hAnsi="맑은 고딕"/>
          <w:sz w:val="23"/>
          <w:szCs w:val="23"/>
        </w:rPr>
        <w:t xml:space="preserve">건설시설부장(기계2팀장)</w:t>
      </w:r>
    </w:p>
    <w:p>
      <w:pPr>
        <w:spacing w:after="60"/>
        <w:ind w:left="900" w:hanging="900"/>
      </w:pPr>
      <w:r>
        <w:rPr>
          <w:rFonts w:ascii="맑은 고딕" w:cs="맑은 고딕" w:eastAsia="맑은 고딕" w:hAnsi="맑은 고딕"/>
          <w:sz w:val="23"/>
          <w:szCs w:val="23"/>
        </w:rPr>
        <w:t xml:space="preserve">일자 : </w:t>
      </w:r>
      <w:r>
        <w:rPr>
          <w:rFonts w:ascii="맑은 고딕" w:cs="맑은 고딕" w:eastAsia="맑은 고딕" w:hAnsi="맑은 고딕"/>
          <w:sz w:val="23"/>
          <w:szCs w:val="23"/>
        </w:rPr>
        <w:t xml:space="preserve">2026. 10. 27.</w:t>
      </w:r>
    </w:p>
    <w:p>
      <w:pPr>
        <w:spacing w:after="60"/>
        <w:ind w:left="900" w:hanging="900"/>
      </w:pPr>
      <w:r>
        <w:rPr>
          <w:rFonts w:ascii="맑은 고딕" w:cs="맑은 고딕" w:eastAsia="맑은 고딕" w:hAnsi="맑은 고딕"/>
          <w:sz w:val="23"/>
          <w:szCs w:val="23"/>
        </w:rPr>
        <w:t xml:space="preserve">건명 : </w:t>
      </w:r>
      <w:r>
        <w:rPr>
          <w:rFonts w:ascii="맑은 고딕" w:cs="맑은 고딕" w:eastAsia="맑은 고딕" w:hAnsi="맑은 고딕"/>
          <w:sz w:val="23"/>
          <w:szCs w:val="23"/>
        </w:rPr>
        <w:t xml:space="preserve">대저수문 수문권양기 구매 입찰공고(안) 관련 검토의견서 제출</w:t>
      </w:r>
    </w:p>
    <w:p>
      <w:pPr>
        <w:spacing w:after="120"/>
      </w:pPr>
    </w:p>
    <w:p>
      <w:pPr>
        <w:spacing w:after="80" w:line="290"/>
        <w:ind w:left="360" w:hanging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 어려운 우리 부산의 지역경제활성화를 위하여 노력하시는 귀 건설본부의 무궁한 발전을 기원합니다.</w:t>
      </w:r>
    </w:p>
    <w:p>
      <w:pPr>
        <w:spacing w:after="80" w:line="290"/>
        <w:ind w:left="360" w:hanging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 금회 발주예정인 대저수문 수문권양기 구매와 관련하여 우리 부산지역업체 입찰 참여기회 확대를 위하여 다음과 같이 검토의견서를 제출하오니 적극 검토하여 주시길 간곡히 요청드립니다.</w:t>
      </w:r>
    </w:p>
    <w:p>
      <w:pPr>
        <w:spacing w:after="80" w:line="290"/>
        <w:ind w:left="360" w:hanging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 건의요청 내용</w:t>
      </w:r>
    </w:p>
    <w:p>
      <w:pPr>
        <w:spacing w:after="80" w:line="290"/>
        <w:ind w:left="900" w:hanging="5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가.  입찰참가자격(실적제한)</w:t>
      </w:r>
    </w:p>
    <w:p>
      <w:pPr>
        <w:spacing w:after="80" w:line="290"/>
        <w:ind w:left="900" w:hanging="0"/>
      </w:pPr>
      <w:r>
        <w:rPr>
          <w:rFonts w:ascii="맑은 고딕" w:cs="맑은 고딕" w:eastAsia="맑은 고딕" w:hAnsi="맑은 고딕"/>
          <w:sz w:val="21"/>
          <w:szCs w:val="21"/>
        </w:rPr>
        <w:t xml:space="preserve">입찰참가자격을 제한하는 경우 「지방자치단체를 당사자로 하는 계약에 관한 법률 시행령」 제20조제1항제3호에 따라 제한사항과 기준을 입찰공고에 명시하여 주시고, 실적 기간은 「지방자치단체 입찰 및 계약 집행기준」(행정안전부예규)에 따라 특별한 사유가 없는 한 입찰공고일 전일까지 검사가 완료된 최근 10년 이내의 실적으로 하여 주시기 바랍니다.</w:t>
      </w:r>
    </w:p>
    <w:p>
      <w:pPr>
        <w:spacing w:after="80" w:line="290"/>
        <w:ind w:left="900" w:hanging="5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나.  계약이행능력심사 납품실적 평가기준</w:t>
      </w:r>
    </w:p>
    <w:p>
      <w:pPr>
        <w:spacing w:after="80" w:line="290"/>
        <w:ind w:left="900" w:hanging="0"/>
      </w:pPr>
      <w:r>
        <w:rPr>
          <w:rFonts w:ascii="맑은 고딕" w:cs="맑은 고딕" w:eastAsia="맑은 고딕" w:hAnsi="맑은 고딕"/>
          <w:sz w:val="21"/>
          <w:szCs w:val="21"/>
        </w:rPr>
        <w:t xml:space="preserve">납품실적(최근 5년 이내) 평가기준을 아래와 같이 입찰공고에 명시하여 주시기 바랍니다.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426"/>
      </w:tblGrid>
      <w:tr>
        <w:tc>
          <w:tcPr>
            <w:tcW w:type="dxa" w:w="2600"/>
            <w:tcBorders>
              <w:top w:val="single" w:color="000000" w:sz="24"/>
              <w:left w:val="single" w:color="000000" w:sz="2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000000" w:sz="2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금액</w:t>
            </w:r>
          </w:p>
        </w:tc>
        <w:tc>
          <w:tcPr>
            <w:tcW w:type="dxa" w:w="4426"/>
            <w:tcBorders>
              <w:top w:val="single" w:color="000000" w:sz="24"/>
              <w:left w:val="single" w:color="808080" w:sz="4"/>
              <w:bottom w:val="single" w:color="808080" w:sz="4"/>
              <w:right w:val="single" w:color="000000" w:sz="2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요청 평가기준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000000" w:sz="2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최근 5년 이내 납품실적 (동등이상 물품)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납품실적/추정가격</w:t>
            </w:r>
          </w:p>
        </w:tc>
        <w:tc>
          <w:tcPr>
            <w:tcW w:type="dxa" w:w="4426"/>
            <w:tcBorders>
              <w:top w:val="single" w:color="808080" w:sz="4"/>
              <w:left w:val="single" w:color="808080" w:sz="4"/>
              <w:bottom w:val="single" w:color="808080" w:sz="4"/>
              <w:right w:val="single" w:color="000000" w:sz="2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대당 개폐용량 70톤 이상이며, 와이어로프식 수문권양기</w:t>
            </w:r>
          </w:p>
        </w:tc>
      </w:tr>
      <w:tr>
        <w:tc>
          <w:tcPr>
            <w:tcW w:type="dxa" w:w="2600"/>
            <w:tcBorders>
              <w:top w:val="single" w:color="808080" w:sz="4"/>
              <w:left w:val="single" w:color="000000" w:sz="24"/>
              <w:bottom w:val="single" w:color="000000" w:sz="2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최근 5년 이내 납품실적 (유사물품)</w:t>
            </w:r>
          </w:p>
        </w:tc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000000" w:sz="2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납품실적/추정가격</w:t>
            </w:r>
          </w:p>
        </w:tc>
        <w:tc>
          <w:tcPr>
            <w:tcW w:type="dxa" w:w="4426"/>
            <w:tcBorders>
              <w:top w:val="single" w:color="808080" w:sz="4"/>
              <w:left w:val="single" w:color="808080" w:sz="4"/>
              <w:bottom w:val="single" w:color="000000" w:sz="24"/>
              <w:right w:val="single" w:color="000000" w:sz="2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대당 개폐용량 70톤 미만인 수문권양기(와이어로프식, 유압식, 랙피니언식 등)</w:t>
            </w:r>
          </w:p>
        </w:tc>
      </w:tr>
    </w:tbl>
    <w:p>
      <w:pPr>
        <w:spacing w:after="80"/>
      </w:pPr>
    </w:p>
    <w:p>
      <w:pPr>
        <w:spacing w:after="80" w:line="290"/>
        <w:ind w:left="900" w:hanging="54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다.  요청 사유</w:t>
      </w:r>
    </w:p>
    <w:p>
      <w:pPr>
        <w:spacing w:after="80" w:line="290"/>
        <w:ind w:left="1260" w:hanging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1)  평가기준은 계약담당자가 공고에 명시하도록 되어 있으므로(중소벤처기업부고시 제2026-80호 제6조제2항제1호가목) 동등이상 물품과 유사물품의 범위를 구체적으로 정하는 것이 평가의 객관성 확보에 필요합니다.</w:t>
      </w:r>
    </w:p>
    <w:p>
      <w:pPr>
        <w:spacing w:after="80" w:line="290"/>
        <w:ind w:left="1260" w:hanging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2)  동등이상 물품은 성능·품질이 입찰대상 이상인 것, 유사물품은 동일 종류로서 성능·품질이 동등 미만인 것으로 정의되어 있으므로(같은 고시 [별표 1] 주석), 입찰대상의 규모(70톤)와 형식(와이어로프식)을 기준으로 구분하는 것이 고시 취지에 부합합니다.</w:t>
      </w:r>
    </w:p>
    <w:p>
      <w:pPr>
        <w:spacing w:after="80" w:line="290"/>
        <w:ind w:left="1260" w:hanging="360"/>
      </w:pPr>
      <w:r>
        <w:rPr>
          <w:rFonts w:ascii="맑은 고딕" w:cs="맑은 고딕" w:eastAsia="맑은 고딕" w:hAnsi="맑은 고딕"/>
          <w:sz w:val="21"/>
          <w:szCs w:val="21"/>
        </w:rPr>
        <w:t xml:space="preserve">3)  유사물품의 형식을 와이어로프식, 유압식, 랙피니언식 등으로 열거하면 수문권양기 전반의 실적이 합리적으로 평가되어 공정한 경쟁이 가능합니다.</w:t>
      </w:r>
    </w:p>
    <w:p>
      <w:pPr>
        <w:spacing w:after="80"/>
      </w:pPr>
    </w:p>
    <w:p>
      <w:pPr>
        <w:spacing w:after="80" w:line="290"/>
        <w:ind w:left="900" w:hanging="900"/>
      </w:pPr>
      <w:r>
        <w:rPr>
          <w:rFonts w:ascii="맑은 고딕" w:cs="맑은 고딕" w:eastAsia="맑은 고딕" w:hAnsi="맑은 고딕"/>
          <w:sz w:val="21"/>
          <w:szCs w:val="21"/>
        </w:rPr>
        <w:t xml:space="preserve">붙임	1. 평가기준(안) 비교표 1부</w:t>
      </w:r>
    </w:p>
    <w:p>
      <w:pPr>
        <w:spacing w:after="80" w:line="290"/>
        <w:ind w:left="900" w:hanging="900"/>
      </w:pPr>
      <w:r>
        <w:rPr>
          <w:rFonts w:ascii="맑은 고딕" w:cs="맑은 고딕" w:eastAsia="맑은 고딕" w:hAnsi="맑은 고딕"/>
          <w:sz w:val="21"/>
          <w:szCs w:val="21"/>
        </w:rPr>
        <w:t xml:space="preserve">	2. 관련 고시 요지 1부.  끝.</w:t>
      </w:r>
    </w:p>
    <w:p>
      <w:pPr>
        <w:spacing w:before="240"/>
        <w:jc w:val="center"/>
      </w:pPr>
      <w:r>
        <w:rPr>
          <w:rFonts w:ascii="맑은 고딕" w:cs="맑은 고딕" w:eastAsia="맑은 고딕" w:hAnsi="맑은 고딕"/>
          <w:b/>
          <w:bCs/>
          <w:sz w:val="30"/>
          <w:szCs w:val="30"/>
        </w:rPr>
        <w:t xml:space="preserve">동아정밀공업사 대표  윤 종 필  (인)</w:t>
      </w:r>
    </w:p>
    <w:p>
      <w:pPr>
        <w:pageBreakBefore/>
        <w:spacing w:after="2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붙임 1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평가기준(안) 비교표 — 납품실적(최근 5년 이내, 금액: 납품실적/추정가격)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63"/>
        <w:gridCol w:w="3663"/>
      </w:tblGrid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663"/>
            <w:tcBorders>
              <w:top w:val="single" w:color="000000" w:sz="24"/>
              <w:left w:val="single" w:color="000000" w:sz="24"/>
              <w:bottom w:val="single" w:color="808080" w:sz="4"/>
              <w:right w:val="single" w:color="000000" w:sz="2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1안 (요청)</w:t>
            </w:r>
          </w:p>
        </w:tc>
        <w:tc>
          <w:tcPr>
            <w:tcW w:type="dxa" w:w="3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2안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동등이상 물품</w:t>
            </w:r>
          </w:p>
        </w:tc>
        <w:tc>
          <w:tcPr>
            <w:tcW w:type="dxa" w:w="3663"/>
            <w:tcBorders>
              <w:top w:val="single" w:color="808080" w:sz="4"/>
              <w:left w:val="single" w:color="000000" w:sz="24"/>
              <w:bottom w:val="single" w:color="808080" w:sz="4"/>
              <w:right w:val="single" w:color="000000" w:sz="2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대당 개폐용량 70톤 이상이며, 와이어로프식 수문권양기</w:t>
            </w:r>
          </w:p>
        </w:tc>
        <w:tc>
          <w:tcPr>
            <w:tcW w:type="dxa" w:w="3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와이어로프식 수문권양기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유사물품</w:t>
            </w:r>
          </w:p>
        </w:tc>
        <w:tc>
          <w:tcPr>
            <w:tcW w:type="dxa" w:w="3663"/>
            <w:tcBorders>
              <w:top w:val="single" w:color="808080" w:sz="4"/>
              <w:left w:val="single" w:color="000000" w:sz="24"/>
              <w:bottom w:val="single" w:color="808080" w:sz="4"/>
              <w:right w:val="single" w:color="000000" w:sz="2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대당 개폐용량 70톤 미만인 수문권양기(와이어로프식, 유압식, 랙피니언식 등)</w:t>
            </w:r>
          </w:p>
        </w:tc>
        <w:tc>
          <w:tcPr>
            <w:tcW w:type="dxa" w:w="3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수문권양기(유압식, 랙피니언식 등)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고시 [별표 1] 주석과의 부합</w:t>
            </w:r>
          </w:p>
        </w:tc>
        <w:tc>
          <w:tcPr>
            <w:tcW w:type="dxa" w:w="3663"/>
            <w:tcBorders>
              <w:top w:val="single" w:color="808080" w:sz="4"/>
              <w:left w:val="single" w:color="000000" w:sz="24"/>
              <w:bottom w:val="single" w:color="808080" w:sz="4"/>
              <w:right w:val="single" w:color="000000" w:sz="2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동등이상을 입찰대상 규모(70톤 이상) 이상으로 한정하여 "성능·품질이 입찰대상 이상"이라는 정의에 부합. 동일 종류의 소규모 실적은 유사물품으로 평가</w:t>
            </w:r>
          </w:p>
        </w:tc>
        <w:tc>
          <w:tcPr>
            <w:tcW w:type="dxa" w:w="3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규모 기준이 없어 입찰대상보다 작은 와이어로프식도 동등이상으로 평가되어 "입찰대상 이상" 정의와 맞지 않을 소지</w:t>
            </w:r>
          </w:p>
        </w:tc>
      </w:tr>
      <w:tr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평가의 명확성</w:t>
            </w:r>
          </w:p>
        </w:tc>
        <w:tc>
          <w:tcPr>
            <w:tcW w:type="dxa" w:w="3663"/>
            <w:tcBorders>
              <w:top w:val="single" w:color="808080" w:sz="4"/>
              <w:left w:val="single" w:color="000000" w:sz="24"/>
              <w:bottom w:val="single" w:color="000000" w:sz="24"/>
              <w:right w:val="single" w:color="000000" w:sz="2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규모·형식 기준이 모두 명시되어 평가 시 해석 여지가 적음</w:t>
            </w:r>
          </w:p>
        </w:tc>
        <w:tc>
          <w:tcPr>
            <w:tcW w:type="dxa" w:w="36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규모 기준이 없어 동등이상 해당 범위가 넓고, 변별력이 낮아질 수 있음</w:t>
            </w:r>
          </w:p>
        </w:tc>
      </w:tr>
    </w:tbl>
    <w:p>
      <w:pPr>
        <w:spacing w:after="160" w:before="36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붙임 2</w:t>
      </w:r>
    </w:p>
    <w:p>
      <w:pPr>
        <w:spacing w:after="160"/>
      </w:pPr>
      <w:r>
        <w:rPr>
          <w:rFonts w:ascii="맑은 고딕" w:cs="맑은 고딕" w:eastAsia="맑은 고딕" w:hAnsi="맑은 고딕"/>
          <w:b/>
          <w:bCs/>
          <w:sz w:val="23"/>
          <w:szCs w:val="23"/>
        </w:rPr>
        <w:t xml:space="preserve">관련 고시 요지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근거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요지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중소벤처기업부고시 제2026-80호 제6조제1항제1호 나목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납품실적은 최근 5년 기준이며, 입찰공고에 명시한 경우 조정하여 적용할 수 있음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지방계약법 시행령 제20조제1항제3호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특수한 설비·기술이 요구되는 물품제조는 같은 종류의 물품제조실적으로 제한할 수 있으며, 제한사항·기준은 공고에 명시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지방자치단체 입찰 및 계약 집행기준(행안부예규 제372호)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특별한 사유가 없는 한 입찰공고일 전일까지 검사가 완료된 최근 10년 이내 실적으로 제한(물품은 공사 준용)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같은 고시 제6조제2항제1호 가목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납품실적 평가의 동등이상 물품·유사물품의 평가기준은 계약담당자가 공고에 명시</w:t>
            </w:r>
          </w:p>
        </w:tc>
      </w:tr>
      <w:t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같은 고시 [별표 1] 주석</w:t>
            </w:r>
          </w:p>
        </w:tc>
        <w:tc>
          <w:tcPr>
            <w:tcW w:type="dxa" w:w="67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동등이상 물품은 성능·품질이 입찰대상 물품 이상인 것, 유사물품은 동일 종류로서 성능·품질이 동등 미만인 것</w:t>
            </w:r>
          </w:p>
        </w:tc>
      </w:tr>
    </w:tbl>
    <w:p>
      <w:pPr>
        <w:spacing w:before="160"/>
      </w:pPr>
      <w:r>
        <w:rPr>
          <w:rFonts w:ascii="맑은 고딕" w:cs="맑은 고딕" w:eastAsia="맑은 고딕" w:hAnsi="맑은 고딕"/>
          <w:color w:val="555555"/>
          <w:sz w:val="19"/>
          <w:szCs w:val="19"/>
        </w:rPr>
        <w:t xml:space="preserve">※ 위 내용은 요지이며, 정확한 문언은 고시 원문(법령정보센터 게재)을 따릅니다.</w:t>
      </w:r>
    </w:p>
    <w:sectPr>
      <w:pgSz w:w="11906" w:h="16838" w:orient="portrait"/>
      <w:pgMar w:top="1000" w:right="1440" w:bottom="8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2026-10-26T22:50:53.330Z</dcterms:created>
  <dcterms:modified xsi:type="dcterms:W3CDTF">2026-10-26T22:50:53.333Z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