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88591" w14:textId="77777777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FDDB3A" wp14:editId="4DD02419">
            <wp:extent cx="5534025" cy="2676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5A9B" w14:textId="77777777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5C9BF3" w14:textId="00EA302B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469AF1" wp14:editId="0ECCA40C">
            <wp:extent cx="5612130" cy="4030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BEFB" w14:textId="77777777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5EFE89" w14:textId="77777777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D5EC00" w14:textId="77777777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EA7131" w14:textId="15FAB6D0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441038" wp14:editId="17BC4854">
            <wp:extent cx="5612130" cy="2951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F472" w14:textId="77777777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AA421C" w14:textId="77777777" w:rsidR="00324B0D" w:rsidRDefault="00324B0D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7A00B6" w14:textId="40DFB186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Comunicaciones II, CODIFICACION HUFFMAN.</w:t>
      </w:r>
    </w:p>
    <w:p w14:paraId="327A0894" w14:textId="77777777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A7F407" w14:textId="77777777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Luis Almendrales </w:t>
      </w:r>
    </w:p>
    <w:p w14:paraId="5C497759" w14:textId="77777777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Diego Carreño</w:t>
      </w:r>
    </w:p>
    <w:p w14:paraId="09748420" w14:textId="77777777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Nicolás Sanabria</w:t>
      </w:r>
    </w:p>
    <w:p w14:paraId="55FD7D97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C7EC02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Codificación Huffman por el método de diagrama de árbol:</w:t>
      </w:r>
    </w:p>
    <w:p w14:paraId="28B606FC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Mensaje: 3164936643</w:t>
      </w:r>
    </w:p>
    <w:p w14:paraId="6A36A791" w14:textId="77777777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C76474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es-MX"/>
        </w:rPr>
        <w:lastRenderedPageBreak/>
        <w:drawing>
          <wp:inline distT="0" distB="0" distL="0" distR="0" wp14:anchorId="4505BFBA" wp14:editId="08992AF3">
            <wp:extent cx="5612130" cy="37268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9CDD" w14:textId="77777777" w:rsidR="00912E07" w:rsidRDefault="00912E07" w:rsidP="00912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1: diagrama de árbol, los círculos azules representan la probabilidad de las ramas, los círculos cafés representan los estados que conforman el símbolo, los cuadros representan los datos.</w:t>
      </w:r>
    </w:p>
    <w:p w14:paraId="563FCB9C" w14:textId="77777777" w:rsidR="00730742" w:rsidRP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8730D4A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0D1C61F" w14:textId="77777777" w:rsidR="00912E07" w:rsidRP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2E07">
        <w:rPr>
          <w:rFonts w:ascii="Times New Roman" w:hAnsi="Times New Roman" w:cs="Times New Roman"/>
          <w:color w:val="000000" w:themeColor="text1"/>
          <w:sz w:val="20"/>
          <w:szCs w:val="20"/>
        </w:rPr>
        <w:t>Vector binario de mensaje codificado.</w:t>
      </w:r>
    </w:p>
    <w:p w14:paraId="2AAA5EDE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 w:rsidR="00912E07" w14:paraId="47A8481B" w14:textId="77777777" w:rsidTr="00FD0DEC">
        <w:tc>
          <w:tcPr>
            <w:tcW w:w="885" w:type="dxa"/>
            <w:gridSpan w:val="3"/>
          </w:tcPr>
          <w:p w14:paraId="650628B0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3</w:t>
            </w:r>
          </w:p>
        </w:tc>
        <w:tc>
          <w:tcPr>
            <w:tcW w:w="885" w:type="dxa"/>
            <w:gridSpan w:val="3"/>
          </w:tcPr>
          <w:p w14:paraId="3853D110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1</w:t>
            </w:r>
          </w:p>
        </w:tc>
        <w:tc>
          <w:tcPr>
            <w:tcW w:w="884" w:type="dxa"/>
            <w:gridSpan w:val="3"/>
          </w:tcPr>
          <w:p w14:paraId="02882696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6</w:t>
            </w:r>
          </w:p>
        </w:tc>
        <w:tc>
          <w:tcPr>
            <w:tcW w:w="882" w:type="dxa"/>
            <w:gridSpan w:val="3"/>
          </w:tcPr>
          <w:p w14:paraId="3C3CFED1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4</w:t>
            </w:r>
          </w:p>
        </w:tc>
        <w:tc>
          <w:tcPr>
            <w:tcW w:w="882" w:type="dxa"/>
            <w:gridSpan w:val="3"/>
          </w:tcPr>
          <w:p w14:paraId="0B0865DB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9</w:t>
            </w:r>
          </w:p>
        </w:tc>
        <w:tc>
          <w:tcPr>
            <w:tcW w:w="882" w:type="dxa"/>
            <w:gridSpan w:val="3"/>
          </w:tcPr>
          <w:p w14:paraId="5C384970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3</w:t>
            </w:r>
          </w:p>
        </w:tc>
        <w:tc>
          <w:tcPr>
            <w:tcW w:w="882" w:type="dxa"/>
            <w:gridSpan w:val="3"/>
          </w:tcPr>
          <w:p w14:paraId="76664771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6</w:t>
            </w:r>
          </w:p>
        </w:tc>
        <w:tc>
          <w:tcPr>
            <w:tcW w:w="882" w:type="dxa"/>
            <w:gridSpan w:val="3"/>
          </w:tcPr>
          <w:p w14:paraId="4CCFC09F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6</w:t>
            </w:r>
          </w:p>
        </w:tc>
        <w:tc>
          <w:tcPr>
            <w:tcW w:w="882" w:type="dxa"/>
            <w:gridSpan w:val="3"/>
          </w:tcPr>
          <w:p w14:paraId="591D764B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4</w:t>
            </w:r>
          </w:p>
        </w:tc>
        <w:tc>
          <w:tcPr>
            <w:tcW w:w="882" w:type="dxa"/>
            <w:gridSpan w:val="3"/>
          </w:tcPr>
          <w:p w14:paraId="5A4FEF9D" w14:textId="77777777" w:rsid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3</w:t>
            </w:r>
          </w:p>
        </w:tc>
      </w:tr>
      <w:tr w:rsidR="00912E07" w14:paraId="5F79DEB7" w14:textId="77777777" w:rsidTr="00912E07">
        <w:tc>
          <w:tcPr>
            <w:tcW w:w="295" w:type="dxa"/>
          </w:tcPr>
          <w:p w14:paraId="1DE30722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5" w:type="dxa"/>
          </w:tcPr>
          <w:p w14:paraId="2995563B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5" w:type="dxa"/>
          </w:tcPr>
          <w:p w14:paraId="6119D5B8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5" w:type="dxa"/>
          </w:tcPr>
          <w:p w14:paraId="3728EE34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5" w:type="dxa"/>
          </w:tcPr>
          <w:p w14:paraId="38470C1F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5" w:type="dxa"/>
          </w:tcPr>
          <w:p w14:paraId="18A8C2D4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5" w:type="dxa"/>
          </w:tcPr>
          <w:p w14:paraId="1D46F005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5" w:type="dxa"/>
          </w:tcPr>
          <w:p w14:paraId="4572C1B7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5E7E5169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2F06115F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16D53664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0C945BBE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32905174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6591A947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2017F657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52523083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361BE151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669F9E17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1480C501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2B127960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7EC732AF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3AF06979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340B1136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27A01EAF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44C5DFCA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76271568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546D2C7E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7B50C565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4" w:type="dxa"/>
          </w:tcPr>
          <w:p w14:paraId="64B1BBE9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4" w:type="dxa"/>
          </w:tcPr>
          <w:p w14:paraId="1182BC2E" w14:textId="77777777" w:rsidR="00912E07" w:rsidRPr="00912E07" w:rsidRDefault="00912E07" w:rsidP="00912E0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</w:tc>
      </w:tr>
    </w:tbl>
    <w:p w14:paraId="6162008C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7BBF48C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0A151BC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7C97FF3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683E6145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C2685A9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CE265F5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46E3F60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481F169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8171113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7F6EE22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71A34DE" w14:textId="77777777" w:rsidR="00912E07" w:rsidRDefault="00912E07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36AEA10" w14:textId="77777777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%Definimos el vector: señal de entrada binaria</w:t>
      </w:r>
    </w:p>
    <w:p w14:paraId="27A2313E" w14:textId="77777777" w:rsid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 1 1 0 0 0 1 0 0 0 1 0 0 0 1 0 1 1 1 0 0 1 0 0 0 1 0 0 1 1];</w:t>
      </w:r>
    </w:p>
    <w:p w14:paraId="1447F1AA" w14:textId="77777777" w:rsidR="00730742" w:rsidRPr="00730742" w:rsidRDefault="00730742" w:rsidP="00730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0ECDF1" w14:textId="77777777" w:rsidR="002940F5" w:rsidRDefault="00730742">
      <w:r>
        <w:rPr>
          <w:noProof/>
          <w:lang w:eastAsia="es-MX"/>
        </w:rPr>
        <w:lastRenderedPageBreak/>
        <w:drawing>
          <wp:inline distT="0" distB="0" distL="0" distR="0" wp14:anchorId="771160B9" wp14:editId="70B89F1A">
            <wp:extent cx="5612130" cy="2943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5F74" w14:textId="77777777" w:rsidR="00912E07" w:rsidRDefault="00912E07" w:rsidP="00B003E6">
      <w:pPr>
        <w:jc w:val="both"/>
      </w:pPr>
      <w:r>
        <w:t xml:space="preserve">Figura 2: la </w:t>
      </w:r>
      <w:r w:rsidR="00B003E6">
        <w:t>gráfica</w:t>
      </w:r>
      <w:r>
        <w:t xml:space="preserve"> superior representa el mensaje de manera digitalizada y codificada, </w:t>
      </w:r>
      <w:r w:rsidR="00B003E6">
        <w:t xml:space="preserve">la gráfica intermedia representa la modulación PSK correspondiente a la señal digital, la gráfica inferior representa la decodificación de la señal digital decodificada. </w:t>
      </w:r>
    </w:p>
    <w:sectPr w:rsidR="00912E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742"/>
    <w:rsid w:val="002940F5"/>
    <w:rsid w:val="00324B0D"/>
    <w:rsid w:val="00730742"/>
    <w:rsid w:val="007B2136"/>
    <w:rsid w:val="00912E07"/>
    <w:rsid w:val="00B0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BE7"/>
  <w15:chartTrackingRefBased/>
  <w15:docId w15:val="{6F3637B3-A464-48EE-83EA-9A607A1A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julian camilo saavedra rodriguez</cp:lastModifiedBy>
  <cp:revision>2</cp:revision>
  <dcterms:created xsi:type="dcterms:W3CDTF">2020-07-13T22:52:00Z</dcterms:created>
  <dcterms:modified xsi:type="dcterms:W3CDTF">2021-03-19T06:25:00Z</dcterms:modified>
</cp:coreProperties>
</file>