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07BC3D" w14:textId="77777777" w:rsidR="00571395" w:rsidRDefault="00571395" w:rsidP="00571395">
      <w:pPr>
        <w:spacing w:line="360" w:lineRule="auto"/>
        <w:rPr>
          <w:rFonts w:ascii="Courier New" w:hAnsi="Courier New" w:cs="Courier New"/>
          <w:sz w:val="22"/>
          <w:szCs w:val="22"/>
        </w:rPr>
      </w:pPr>
      <w:r>
        <w:rPr>
          <w:rFonts w:ascii="Courier New" w:hAnsi="Courier New" w:cs="Courier New"/>
          <w:sz w:val="22"/>
          <w:szCs w:val="22"/>
        </w:rPr>
        <w:t>Over Dewy’s Logica</w:t>
      </w:r>
    </w:p>
    <w:p w14:paraId="707C92A3" w14:textId="77777777" w:rsidR="00571395" w:rsidRDefault="00571395" w:rsidP="00571395">
      <w:pPr>
        <w:spacing w:line="360" w:lineRule="auto"/>
        <w:rPr>
          <w:rFonts w:ascii="Courier New" w:hAnsi="Courier New" w:cs="Courier New"/>
          <w:sz w:val="22"/>
          <w:szCs w:val="22"/>
        </w:rPr>
      </w:pPr>
    </w:p>
    <w:p w14:paraId="073F3C93" w14:textId="5BCD5D2E"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de twintigste eeuw ontwikkelde John Dewey een vernieuwende opvatting over logica: hij zag logische theorie als een studie van hoe organismen in wisselwerking met hun omgeving een geïntegreerd evenwicht bewaren. In werken als </w:t>
      </w:r>
      <w:r w:rsidRPr="002F2D78">
        <w:rPr>
          <w:rFonts w:ascii="Courier New" w:hAnsi="Courier New" w:cs="Courier New"/>
          <w:i/>
          <w:iCs/>
          <w:sz w:val="22"/>
          <w:szCs w:val="22"/>
        </w:rPr>
        <w:t>Essays in Experimental Logic</w:t>
      </w:r>
      <w:r w:rsidRPr="002F2D78">
        <w:rPr>
          <w:rFonts w:ascii="Courier New" w:hAnsi="Courier New" w:cs="Courier New"/>
          <w:sz w:val="22"/>
          <w:szCs w:val="22"/>
        </w:rPr>
        <w:t> (1916), </w:t>
      </w:r>
      <w:r w:rsidRPr="002F2D78">
        <w:rPr>
          <w:rFonts w:ascii="Courier New" w:hAnsi="Courier New" w:cs="Courier New"/>
          <w:i/>
          <w:iCs/>
          <w:sz w:val="22"/>
          <w:szCs w:val="22"/>
        </w:rPr>
        <w:t>Studies in Logical Theory</w:t>
      </w:r>
      <w:r w:rsidRPr="002F2D78">
        <w:rPr>
          <w:rFonts w:ascii="Courier New" w:hAnsi="Courier New" w:cs="Courier New"/>
          <w:sz w:val="22"/>
          <w:szCs w:val="22"/>
        </w:rPr>
        <w:t> (1903), </w:t>
      </w:r>
      <w:r w:rsidRPr="002F2D78">
        <w:rPr>
          <w:rFonts w:ascii="Courier New" w:hAnsi="Courier New" w:cs="Courier New"/>
          <w:i/>
          <w:iCs/>
          <w:sz w:val="22"/>
          <w:szCs w:val="22"/>
        </w:rPr>
        <w:t>How We Think</w:t>
      </w:r>
      <w:r w:rsidRPr="002F2D78">
        <w:rPr>
          <w:rFonts w:ascii="Courier New" w:hAnsi="Courier New" w:cs="Courier New"/>
          <w:sz w:val="22"/>
          <w:szCs w:val="22"/>
        </w:rPr>
        <w:t> (1910) en vooral </w:t>
      </w:r>
      <w:r w:rsidRPr="002F2D78">
        <w:rPr>
          <w:rFonts w:ascii="Courier New" w:hAnsi="Courier New" w:cs="Courier New"/>
          <w:i/>
          <w:iCs/>
          <w:sz w:val="22"/>
          <w:szCs w:val="22"/>
        </w:rPr>
        <w:t>Logic: The Theory of Inquiry</w:t>
      </w:r>
      <w:r w:rsidRPr="002F2D78">
        <w:rPr>
          <w:rFonts w:ascii="Courier New" w:hAnsi="Courier New" w:cs="Courier New"/>
          <w:sz w:val="22"/>
          <w:szCs w:val="22"/>
        </w:rPr>
        <w:t> (1938) werkte hij zijn theorie van onderzoek uit. Volgens de auteur hebben veel commentatoren Dewey echter verkeerd begrepen. Hij wijst hun fouten aan en presenteert een nieuwe interpretatie die fenomenale, contextuele en sociale factoren centraal stelt.</w:t>
      </w:r>
    </w:p>
    <w:p w14:paraId="7A4A6471" w14:textId="77777777" w:rsidR="00380051" w:rsidRPr="00571395" w:rsidRDefault="00380051" w:rsidP="00571395">
      <w:pPr>
        <w:spacing w:line="360" w:lineRule="auto"/>
        <w:rPr>
          <w:rFonts w:ascii="Courier New" w:hAnsi="Courier New" w:cs="Courier New"/>
          <w:sz w:val="22"/>
          <w:szCs w:val="22"/>
        </w:rPr>
      </w:pPr>
    </w:p>
    <w:p w14:paraId="5C464197" w14:textId="77777777" w:rsidR="002F2D78" w:rsidRPr="00571395" w:rsidRDefault="002F2D78" w:rsidP="00571395">
      <w:pPr>
        <w:spacing w:line="360" w:lineRule="auto"/>
        <w:rPr>
          <w:rFonts w:ascii="Courier New" w:hAnsi="Courier New" w:cs="Courier New"/>
          <w:sz w:val="22"/>
          <w:szCs w:val="22"/>
        </w:rPr>
      </w:pPr>
    </w:p>
    <w:p w14:paraId="7430CD2B" w14:textId="77777777" w:rsidR="002F2D78" w:rsidRPr="00571395" w:rsidRDefault="002F2D78" w:rsidP="00571395">
      <w:pPr>
        <w:spacing w:line="360" w:lineRule="auto"/>
        <w:rPr>
          <w:rFonts w:ascii="Courier New" w:hAnsi="Courier New" w:cs="Courier New"/>
          <w:sz w:val="22"/>
          <w:szCs w:val="22"/>
        </w:rPr>
      </w:pPr>
      <w:r w:rsidRPr="00571395">
        <w:rPr>
          <w:rFonts w:ascii="Courier New" w:hAnsi="Courier New" w:cs="Courier New"/>
          <w:sz w:val="22"/>
          <w:szCs w:val="22"/>
        </w:rPr>
        <w:t>Introductie: een korte geschiedenis en uiteenzetting van een ondernemen</w:t>
      </w:r>
    </w:p>
    <w:p w14:paraId="0F1E2D5E" w14:textId="504B4F5F" w:rsidR="002F2D78" w:rsidRPr="00571395" w:rsidRDefault="002F2D78" w:rsidP="00571395">
      <w:pPr>
        <w:spacing w:line="360" w:lineRule="auto"/>
        <w:rPr>
          <w:rFonts w:ascii="Courier New" w:hAnsi="Courier New" w:cs="Courier New"/>
          <w:sz w:val="22"/>
          <w:szCs w:val="22"/>
        </w:rPr>
      </w:pPr>
      <w:r w:rsidRPr="00571395">
        <w:rPr>
          <w:rFonts w:ascii="Courier New" w:hAnsi="Courier New" w:cs="Courier New"/>
          <w:sz w:val="22"/>
          <w:szCs w:val="22"/>
        </w:rPr>
        <w:t>Hoewel John Dewey niet vooral bekendstaat om zijn werk over logische theorie — wat hij zijn </w:t>
      </w:r>
      <w:r w:rsidRPr="00571395">
        <w:rPr>
          <w:rFonts w:ascii="Courier New" w:hAnsi="Courier New" w:cs="Courier New"/>
          <w:i/>
          <w:iCs/>
          <w:sz w:val="22"/>
          <w:szCs w:val="22"/>
        </w:rPr>
        <w:t>theory of inquiry</w:t>
      </w:r>
      <w:r w:rsidRPr="00571395">
        <w:rPr>
          <w:rFonts w:ascii="Courier New" w:hAnsi="Courier New" w:cs="Courier New"/>
          <w:sz w:val="22"/>
          <w:szCs w:val="22"/>
        </w:rPr>
        <w:t> noemde — beschouwde hij logica als een praktisch instrument om organismen te helpen omgaan met onbepaalde situaties in hun omgeving. Zijn visie op logica, ontwikkeld in </w:t>
      </w:r>
      <w:r w:rsidRPr="00571395">
        <w:rPr>
          <w:rFonts w:ascii="Courier New" w:hAnsi="Courier New" w:cs="Courier New"/>
          <w:i/>
          <w:iCs/>
          <w:sz w:val="22"/>
          <w:szCs w:val="22"/>
        </w:rPr>
        <w:t>Studies in Logical Theory</w:t>
      </w:r>
      <w:r w:rsidRPr="00571395">
        <w:rPr>
          <w:rFonts w:ascii="Courier New" w:hAnsi="Courier New" w:cs="Courier New"/>
          <w:sz w:val="22"/>
          <w:szCs w:val="22"/>
        </w:rPr>
        <w:t> (1903), </w:t>
      </w:r>
      <w:r w:rsidRPr="00571395">
        <w:rPr>
          <w:rFonts w:ascii="Courier New" w:hAnsi="Courier New" w:cs="Courier New"/>
          <w:i/>
          <w:iCs/>
          <w:sz w:val="22"/>
          <w:szCs w:val="22"/>
        </w:rPr>
        <w:t>Essays in Experimental Logic</w:t>
      </w:r>
      <w:r w:rsidRPr="00571395">
        <w:rPr>
          <w:rFonts w:ascii="Courier New" w:hAnsi="Courier New" w:cs="Courier New"/>
          <w:sz w:val="22"/>
          <w:szCs w:val="22"/>
        </w:rPr>
        <w:t> (1916) en vooral </w:t>
      </w:r>
      <w:r w:rsidRPr="00571395">
        <w:rPr>
          <w:rFonts w:ascii="Courier New" w:hAnsi="Courier New" w:cs="Courier New"/>
          <w:i/>
          <w:iCs/>
          <w:sz w:val="22"/>
          <w:szCs w:val="22"/>
        </w:rPr>
        <w:t>Logic: The Theory of Inquiry</w:t>
      </w:r>
      <w:r w:rsidRPr="00571395">
        <w:rPr>
          <w:rFonts w:ascii="Courier New" w:hAnsi="Courier New" w:cs="Courier New"/>
          <w:sz w:val="22"/>
          <w:szCs w:val="22"/>
        </w:rPr>
        <w:t> (1938), verschilt fundamenteel van de formele logica van tijdgenoten als Frege en Russell. Waar zij zich richtten op de structuur van proposities, zag Dewey logica als een methode om controle te verwerven over ervaring en handelen. Zijn benadering ontstond onder invloed van Charles S. Peirce en paste binnen het Amerikaanse pragmatisme. Dewey’s ideeën werden bekritiseerd door Bertrand Russell, wat leidde tot een langdurig debat tussen beiden. Later trachtten denkers als Tom Burke en Douglas Browning deze controverse te verhelderen. Burke verdedigde Dewey tegen Russell, maar overschatte volgens critici de rol van evolutie in Dewey’s denken. Browning corrigeerde dit door meer nadruk te leggen op Dewey’s empirische en sociale dimensies van onderzoek. Deze studie onderzoekt deze interpretaties kritisch, om zo een genuanceerder beeld te schetsen van Dewey’s theorie van onderzoek en haar betekenis binnen de moderne logica.</w:t>
      </w:r>
    </w:p>
    <w:p w14:paraId="1900AA82" w14:textId="77777777" w:rsidR="002F2D78" w:rsidRPr="00571395" w:rsidRDefault="002F2D78" w:rsidP="00571395">
      <w:pPr>
        <w:spacing w:line="360" w:lineRule="auto"/>
        <w:rPr>
          <w:rFonts w:ascii="Courier New" w:hAnsi="Courier New" w:cs="Courier New"/>
          <w:sz w:val="22"/>
          <w:szCs w:val="22"/>
        </w:rPr>
      </w:pPr>
    </w:p>
    <w:p w14:paraId="01235E76" w14:textId="77777777" w:rsidR="002F2D78" w:rsidRPr="00571395" w:rsidRDefault="002F2D78" w:rsidP="00571395">
      <w:pPr>
        <w:spacing w:line="360" w:lineRule="auto"/>
        <w:rPr>
          <w:rFonts w:ascii="Courier New" w:hAnsi="Courier New" w:cs="Courier New"/>
          <w:sz w:val="22"/>
          <w:szCs w:val="22"/>
        </w:rPr>
      </w:pPr>
      <w:r w:rsidRPr="00571395">
        <w:rPr>
          <w:rFonts w:ascii="Courier New" w:hAnsi="Courier New" w:cs="Courier New"/>
          <w:sz w:val="22"/>
          <w:szCs w:val="22"/>
        </w:rPr>
        <w:t>Dewey’s Proposities: de kritiek van Russell and Burke</w:t>
      </w:r>
    </w:p>
    <w:p w14:paraId="092D62FA" w14:textId="00B37F32"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John Dewey’s logische theorie wijkt fundamenteel af van de traditionele logica van Frege en Russell. Waar Frege en Russell logica begrijpen als een formeel systeem gericht op tijdloze waarheidswaarden van proposities, beschouwt Dewey logica als een </w:t>
      </w:r>
      <w:r w:rsidRPr="002F2D78">
        <w:rPr>
          <w:rFonts w:ascii="Courier New" w:hAnsi="Courier New" w:cs="Courier New"/>
          <w:i/>
          <w:iCs/>
          <w:sz w:val="22"/>
          <w:szCs w:val="22"/>
        </w:rPr>
        <w:t>instrumenteel</w:t>
      </w:r>
      <w:r w:rsidRPr="002F2D78">
        <w:rPr>
          <w:rFonts w:ascii="Courier New" w:hAnsi="Courier New" w:cs="Courier New"/>
          <w:sz w:val="22"/>
          <w:szCs w:val="22"/>
        </w:rPr>
        <w:t> onderdeel van onderzoek (</w:t>
      </w:r>
      <w:r w:rsidRPr="002F2D78">
        <w:rPr>
          <w:rFonts w:ascii="Courier New" w:hAnsi="Courier New" w:cs="Courier New"/>
          <w:i/>
          <w:iCs/>
          <w:sz w:val="22"/>
          <w:szCs w:val="22"/>
        </w:rPr>
        <w:t>inquiry</w:t>
      </w:r>
      <w:r w:rsidRPr="002F2D78">
        <w:rPr>
          <w:rFonts w:ascii="Courier New" w:hAnsi="Courier New" w:cs="Courier New"/>
          <w:sz w:val="22"/>
          <w:szCs w:val="22"/>
        </w:rPr>
        <w:t>). Voor hem hebben proposities geen eeuwige waarheid of onwaarheid, maar krijgen ze betekenis binnen een specifieke, vaak problematische situatie waarin kennis wordt onderzocht en gevormd.</w:t>
      </w:r>
    </w:p>
    <w:p w14:paraId="2D3AB5E9"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tegenstelling tot Russell, die proposities als vaste symbolische entiteiten zag met inherente waarheidswaarden (“twee en twee is vier” is altijd waar), zag Dewey proposities als </w:t>
      </w:r>
      <w:r w:rsidRPr="002F2D78">
        <w:rPr>
          <w:rFonts w:ascii="Courier New" w:hAnsi="Courier New" w:cs="Courier New"/>
          <w:i/>
          <w:iCs/>
          <w:sz w:val="22"/>
          <w:szCs w:val="22"/>
        </w:rPr>
        <w:t>middelen</w:t>
      </w:r>
      <w:r w:rsidRPr="002F2D78">
        <w:rPr>
          <w:rFonts w:ascii="Courier New" w:hAnsi="Courier New" w:cs="Courier New"/>
          <w:sz w:val="22"/>
          <w:szCs w:val="22"/>
        </w:rPr>
        <w:t> in het proces van onderzoek — voorlopige symbolische constructies die helpen een “warrantedly assertible judgment” te bereiken, oftewel een gerechtvaardigde uitspraak. Judgments vormen voor Dewey het eindpunt van onderzoek en hebben existentieel gewicht: ze leiden tot stabiele handelingen in de werkelijkheid. Proposities daarentegen zijn voorlopig, contextueel en instrumenteel.</w:t>
      </w:r>
    </w:p>
    <w:p w14:paraId="4061821D"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Frege’s invloed op Russell is zichtbaar in hun gemeenschappelijke nadruk op proposities als dragers van waarheid of onwaarheid, los van context. Voor Frege bestaat een propositie uit een inhoud (de gedachte) waarvan men de waarheid kan erkennen; het oordeel is die erkenning, en de assertie is de uitdrukking ervan. Russell nam dit over, maar stelde dat proposities objectieve symbolen zijn die intrinsiek waar of onwaar zijn.</w:t>
      </w:r>
    </w:p>
    <w:p w14:paraId="77C95D89"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Dewey verwierp deze abstracte opvatting. Hij introduceerde in plaats daarvan een </w:t>
      </w:r>
      <w:r w:rsidRPr="002F2D78">
        <w:rPr>
          <w:rFonts w:ascii="Courier New" w:hAnsi="Courier New" w:cs="Courier New"/>
          <w:i/>
          <w:iCs/>
          <w:sz w:val="22"/>
          <w:szCs w:val="22"/>
        </w:rPr>
        <w:t>taxonomie</w:t>
      </w:r>
      <w:r w:rsidRPr="002F2D78">
        <w:rPr>
          <w:rFonts w:ascii="Courier New" w:hAnsi="Courier New" w:cs="Courier New"/>
          <w:sz w:val="22"/>
          <w:szCs w:val="22"/>
        </w:rPr>
        <w:t> van proposities (particuliere, singuliere, contingente conditionele en disjunctieve, en universele proposities), die elk functioneren binnen specifieke onderzoekscontexten. Ze zijn niet bedoeld om vaste waarheden vast te leggen, maar om relaties, kwaliteiten en categorieën van verschijnselen binnen concrete situaties te onderzoeken.</w:t>
      </w:r>
    </w:p>
    <w:p w14:paraId="03164A28"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Centrale aan Dewey’s benadering is dat betekenis en logische vorm altijd afhankelijk zijn van </w:t>
      </w:r>
      <w:r w:rsidRPr="002F2D78">
        <w:rPr>
          <w:rFonts w:ascii="Courier New" w:hAnsi="Courier New" w:cs="Courier New"/>
          <w:i/>
          <w:iCs/>
          <w:sz w:val="22"/>
          <w:szCs w:val="22"/>
        </w:rPr>
        <w:t>context</w:t>
      </w:r>
      <w:r w:rsidRPr="002F2D78">
        <w:rPr>
          <w:rFonts w:ascii="Courier New" w:hAnsi="Courier New" w:cs="Courier New"/>
          <w:sz w:val="22"/>
          <w:szCs w:val="22"/>
        </w:rPr>
        <w:t> en </w:t>
      </w:r>
      <w:r w:rsidRPr="002F2D78">
        <w:rPr>
          <w:rFonts w:ascii="Courier New" w:hAnsi="Courier New" w:cs="Courier New"/>
          <w:i/>
          <w:iCs/>
          <w:sz w:val="22"/>
          <w:szCs w:val="22"/>
        </w:rPr>
        <w:t>situatie</w:t>
      </w:r>
      <w:r w:rsidRPr="002F2D78">
        <w:rPr>
          <w:rFonts w:ascii="Courier New" w:hAnsi="Courier New" w:cs="Courier New"/>
          <w:sz w:val="22"/>
          <w:szCs w:val="22"/>
        </w:rPr>
        <w:t>. Zoals Tom Burke uitlegt in </w:t>
      </w:r>
      <w:r w:rsidRPr="002F2D78">
        <w:rPr>
          <w:rFonts w:ascii="Courier New" w:hAnsi="Courier New" w:cs="Courier New"/>
          <w:i/>
          <w:iCs/>
          <w:sz w:val="22"/>
          <w:szCs w:val="22"/>
        </w:rPr>
        <w:t>Dewey’s New Logic</w:t>
      </w:r>
      <w:r w:rsidRPr="002F2D78">
        <w:rPr>
          <w:rFonts w:ascii="Courier New" w:hAnsi="Courier New" w:cs="Courier New"/>
          <w:sz w:val="22"/>
          <w:szCs w:val="22"/>
        </w:rPr>
        <w:t xml:space="preserve">, krijgen proposities pas betekenis in het kader van een lopend onderzoek; ze zijn “tools for inquiry”. Ook </w:t>
      </w:r>
      <w:r w:rsidRPr="002F2D78">
        <w:rPr>
          <w:rFonts w:ascii="Courier New" w:hAnsi="Courier New" w:cs="Courier New"/>
          <w:sz w:val="22"/>
          <w:szCs w:val="22"/>
        </w:rPr>
        <w:lastRenderedPageBreak/>
        <w:t>Douglas Browning benadrukt dat elk onderzoek ontstaat uit een “problematische situatie” die uniek en contextueel bepaald is.</w:t>
      </w:r>
    </w:p>
    <w:p w14:paraId="09279DE7"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Russell’s kritiek op Dewey berust volgens Burke op misverstanden, vooral doordat Russell Dewey’s onderscheid tussen proposities en oordelen niet begreep. Russell meende dat Dewey “warranted assertibility” in de plaats stelde van “truth”, maar Dewey zag dit juist als een </w:t>
      </w:r>
      <w:r w:rsidRPr="002F2D78">
        <w:rPr>
          <w:rFonts w:ascii="Courier New" w:hAnsi="Courier New" w:cs="Courier New"/>
          <w:i/>
          <w:iCs/>
          <w:sz w:val="22"/>
          <w:szCs w:val="22"/>
        </w:rPr>
        <w:t>definitie van kennis</w:t>
      </w:r>
      <w:r w:rsidRPr="002F2D78">
        <w:rPr>
          <w:rFonts w:ascii="Courier New" w:hAnsi="Courier New" w:cs="Courier New"/>
          <w:sz w:val="22"/>
          <w:szCs w:val="22"/>
        </w:rPr>
        <w:t> — niet als een vervanging van waarheid, maar als haar functionele bepaling binnen onderzoek.</w:t>
      </w:r>
    </w:p>
    <w:p w14:paraId="4FE15154"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Dewey’s logica is daarmee naturalistisch, contextueel en dynamisch: waarheid is geen statische correspondentie, maar een functie van onderzoek, ervaring en handelen.</w:t>
      </w:r>
    </w:p>
    <w:p w14:paraId="35F28A2E" w14:textId="77777777" w:rsidR="002F2D78" w:rsidRPr="00571395" w:rsidRDefault="002F2D78" w:rsidP="00571395">
      <w:pPr>
        <w:spacing w:line="360" w:lineRule="auto"/>
        <w:rPr>
          <w:rFonts w:ascii="Courier New" w:hAnsi="Courier New" w:cs="Courier New"/>
          <w:sz w:val="22"/>
          <w:szCs w:val="22"/>
        </w:rPr>
      </w:pPr>
    </w:p>
    <w:p w14:paraId="08F72F0A" w14:textId="65C57F72" w:rsidR="002F2D78" w:rsidRPr="00571395" w:rsidRDefault="002F2D78" w:rsidP="00571395">
      <w:pPr>
        <w:spacing w:line="360" w:lineRule="auto"/>
        <w:rPr>
          <w:rFonts w:ascii="Courier New" w:hAnsi="Courier New" w:cs="Courier New"/>
          <w:sz w:val="22"/>
          <w:szCs w:val="22"/>
        </w:rPr>
      </w:pPr>
      <w:r w:rsidRPr="00571395">
        <w:rPr>
          <w:rFonts w:ascii="Courier New" w:hAnsi="Courier New" w:cs="Courier New"/>
          <w:sz w:val="22"/>
          <w:szCs w:val="22"/>
        </w:rPr>
        <w:t>Burke over Dewey en evolutie</w:t>
      </w:r>
    </w:p>
    <w:p w14:paraId="40F370A6"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w:t>
      </w:r>
      <w:r w:rsidRPr="002F2D78">
        <w:rPr>
          <w:rFonts w:ascii="Courier New" w:hAnsi="Courier New" w:cs="Courier New"/>
          <w:i/>
          <w:iCs/>
          <w:sz w:val="22"/>
          <w:szCs w:val="22"/>
        </w:rPr>
        <w:t>Dewey’s New Logic: A Reply to Russell</w:t>
      </w:r>
      <w:r w:rsidRPr="002F2D78">
        <w:rPr>
          <w:rFonts w:ascii="Courier New" w:hAnsi="Courier New" w:cs="Courier New"/>
          <w:sz w:val="22"/>
          <w:szCs w:val="22"/>
        </w:rPr>
        <w:t> onderzoekt Tom Burke John Dewey’s logische theorie aan de hand van diens debat met Bertrand Russell. Burke biedt een scherpzinnige analyse van Dewey’s filosofie van de logica, maar zijn interpretatie – met name wat betreft de rol van evolutie – vraagt om herziening. Burke leest Dewey’s logica als diep doordrongen van evolutionair denken. Dewey zelf echter baseerde zijn logica niet op evolutie, maar op biologische en ervaringsgerichte grondslagen. Het onderscheid is belangrijk: waar biologie leven bestudeert in termen van evolutie, richt fysiologie zich op de functies van levende organismen zonder verwijzing naar hun evolutionaire oorsprong. Wanneer Dewey in </w:t>
      </w:r>
      <w:r w:rsidRPr="002F2D78">
        <w:rPr>
          <w:rFonts w:ascii="Courier New" w:hAnsi="Courier New" w:cs="Courier New"/>
          <w:i/>
          <w:iCs/>
          <w:sz w:val="22"/>
          <w:szCs w:val="22"/>
        </w:rPr>
        <w:t>Logic: The Theory of Inquiry</w:t>
      </w:r>
      <w:r w:rsidRPr="002F2D78">
        <w:rPr>
          <w:rFonts w:ascii="Courier New" w:hAnsi="Courier New" w:cs="Courier New"/>
          <w:sz w:val="22"/>
          <w:szCs w:val="22"/>
        </w:rPr>
        <w:t> spreekt over de “biologische grondslagen” van onderzoek, bedoelt hij vooral de fysiologische werking van organismen in interactie met hun omgeving, niet een evolutionaire theorie.</w:t>
      </w:r>
    </w:p>
    <w:p w14:paraId="563567E5"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w:t>
      </w:r>
      <w:r w:rsidRPr="002F2D78">
        <w:rPr>
          <w:rFonts w:ascii="Courier New" w:hAnsi="Courier New" w:cs="Courier New"/>
          <w:i/>
          <w:iCs/>
          <w:sz w:val="22"/>
          <w:szCs w:val="22"/>
        </w:rPr>
        <w:t>The Influence of Darwinism on Philosophy</w:t>
      </w:r>
      <w:r w:rsidRPr="002F2D78">
        <w:rPr>
          <w:rFonts w:ascii="Courier New" w:hAnsi="Courier New" w:cs="Courier New"/>
          <w:sz w:val="22"/>
          <w:szCs w:val="22"/>
        </w:rPr>
        <w:t xml:space="preserve"> erkent Dewey wel de invloed van Darwin, vooral in de manier waarop diens theorie het denken over natuur en moraal veranderde: van statische, teleologische opvattingen naar een dynamisch, ontwikkelingsgericht perspectief. Hij waardeerde dat Darwin de Griekse notie van vaste soorten en het “argument van ontwerp” ondermijnde. Voor Dewey lag de betekenis van Darwin echter niet in de biologische inhoud, maar in de methodologische les: Darwin bracht een idee van continuïteit en verandering in de filosofie, wat een experimentele, aanpassingsgerichte manier van denken stimuleerde. Evolutie was voor </w:t>
      </w:r>
      <w:r w:rsidRPr="002F2D78">
        <w:rPr>
          <w:rFonts w:ascii="Courier New" w:hAnsi="Courier New" w:cs="Courier New"/>
          <w:sz w:val="22"/>
          <w:szCs w:val="22"/>
        </w:rPr>
        <w:lastRenderedPageBreak/>
        <w:t>Dewey dus vooral een metafoor voor groei en transformatie, geen biologisch principe binnen de logica.</w:t>
      </w:r>
    </w:p>
    <w:p w14:paraId="59DFA2FE"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Dewey’s </w:t>
      </w:r>
      <w:r w:rsidRPr="002F2D78">
        <w:rPr>
          <w:rFonts w:ascii="Courier New" w:hAnsi="Courier New" w:cs="Courier New"/>
          <w:i/>
          <w:iCs/>
          <w:sz w:val="22"/>
          <w:szCs w:val="22"/>
        </w:rPr>
        <w:t>Logic</w:t>
      </w:r>
      <w:r w:rsidRPr="002F2D78">
        <w:rPr>
          <w:rFonts w:ascii="Courier New" w:hAnsi="Courier New" w:cs="Courier New"/>
          <w:sz w:val="22"/>
          <w:szCs w:val="22"/>
        </w:rPr>
        <w:t> verschijnt onderzoek als een naturalistisch proces, geworteld in de wisselwerking tussen organisme en omgeving. Onderzoek ontstaat wanneer het evenwicht tussen beide wordt verstoord en het organisme dat evenwicht probeert te herstellen door middel van aanpassing en handelen. Biologische functies zoals waarneming en beweging zijn voorwaarden voor onderzoek, maar Dewey’s naturalisme is niet reductionistisch: de mens is niet te herleiden tot dier of atoom. Mensen zijn culturele wezens; hun onderzoek is sociaal bepaald en hun omgeving is niet enkel fysiek, maar ook taalkundig, institutioneel en moreel.</w:t>
      </w:r>
    </w:p>
    <w:p w14:paraId="737CCC34"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Burke daarentegen leest Dewey’s begrip van “situaties” als impliciet evolutionair, en beschrijft onderzoek als een “evolutionaire variant” van organische aanpassing. Dat, zo stelt de kritiek, mist Dewey’s bedoeling. Zijn focus lag niet op evolutie maar op </w:t>
      </w:r>
      <w:r w:rsidRPr="002F2D78">
        <w:rPr>
          <w:rFonts w:ascii="Courier New" w:hAnsi="Courier New" w:cs="Courier New"/>
          <w:i/>
          <w:iCs/>
          <w:sz w:val="22"/>
          <w:szCs w:val="22"/>
        </w:rPr>
        <w:t>ervaring</w:t>
      </w:r>
      <w:r w:rsidRPr="002F2D78">
        <w:rPr>
          <w:rFonts w:ascii="Courier New" w:hAnsi="Courier New" w:cs="Courier New"/>
          <w:sz w:val="22"/>
          <w:szCs w:val="22"/>
        </w:rPr>
        <w:t> — op hoe mensen hun omgeving tegemoet treden via het </w:t>
      </w:r>
      <w:r w:rsidRPr="002F2D78">
        <w:rPr>
          <w:rFonts w:ascii="Courier New" w:hAnsi="Courier New" w:cs="Courier New"/>
          <w:i/>
          <w:iCs/>
          <w:sz w:val="22"/>
          <w:szCs w:val="22"/>
        </w:rPr>
        <w:t>postulaat van onmiddellijke empirisme</w:t>
      </w:r>
      <w:r w:rsidRPr="002F2D78">
        <w:rPr>
          <w:rFonts w:ascii="Courier New" w:hAnsi="Courier New" w:cs="Courier New"/>
          <w:sz w:val="22"/>
          <w:szCs w:val="22"/>
        </w:rPr>
        <w:t> en sociale interactie. Volgens dit postulaat moet filosofie vertrekken vanuit geleefde ervaring, niet vanuit abstracte theorie. Bovendien is onderzoek altijd sociaal: mensen leven in gemeenschappen, gebruiken taal, cultuur en gedeelde betekenissen om onbepaalde situaties op te lossen. Dewey’s logica is dus niet geworteld in evolutie, maar in de dynamische, ervaringsgerichte en sociale aard van het menselijk bestaan.</w:t>
      </w:r>
    </w:p>
    <w:p w14:paraId="5E977588" w14:textId="77777777" w:rsidR="002F2D78" w:rsidRPr="00571395" w:rsidRDefault="002F2D78" w:rsidP="00571395">
      <w:pPr>
        <w:spacing w:line="360" w:lineRule="auto"/>
        <w:rPr>
          <w:rFonts w:ascii="Courier New" w:hAnsi="Courier New" w:cs="Courier New"/>
          <w:sz w:val="22"/>
          <w:szCs w:val="22"/>
        </w:rPr>
      </w:pPr>
    </w:p>
    <w:p w14:paraId="508CD508" w14:textId="51A23658" w:rsidR="002F2D78" w:rsidRPr="00571395" w:rsidRDefault="002F2D78" w:rsidP="00571395">
      <w:pPr>
        <w:spacing w:line="360" w:lineRule="auto"/>
        <w:rPr>
          <w:rFonts w:ascii="Courier New" w:hAnsi="Courier New" w:cs="Courier New"/>
          <w:sz w:val="22"/>
          <w:szCs w:val="22"/>
        </w:rPr>
      </w:pPr>
      <w:r w:rsidRPr="00571395">
        <w:rPr>
          <w:rFonts w:ascii="Courier New" w:hAnsi="Courier New" w:cs="Courier New"/>
          <w:sz w:val="22"/>
          <w:szCs w:val="22"/>
        </w:rPr>
        <w:t>Browning over Dewey</w:t>
      </w:r>
    </w:p>
    <w:p w14:paraId="30A7CB4A"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w:t>
      </w:r>
      <w:r w:rsidRPr="002F2D78">
        <w:rPr>
          <w:rFonts w:ascii="Courier New" w:hAnsi="Courier New" w:cs="Courier New"/>
          <w:b/>
          <w:bCs/>
          <w:sz w:val="22"/>
          <w:szCs w:val="22"/>
        </w:rPr>
        <w:t>hoofdstuk II</w:t>
      </w:r>
      <w:r w:rsidRPr="002F2D78">
        <w:rPr>
          <w:rFonts w:ascii="Courier New" w:hAnsi="Courier New" w:cs="Courier New"/>
          <w:sz w:val="22"/>
          <w:szCs w:val="22"/>
        </w:rPr>
        <w:t> van </w:t>
      </w:r>
      <w:r w:rsidRPr="002F2D78">
        <w:rPr>
          <w:rFonts w:ascii="Courier New" w:hAnsi="Courier New" w:cs="Courier New"/>
          <w:i/>
          <w:iCs/>
          <w:sz w:val="22"/>
          <w:szCs w:val="22"/>
        </w:rPr>
        <w:t>Dewey’s New Logic: A Reply to Russell</w:t>
      </w:r>
      <w:r w:rsidRPr="002F2D78">
        <w:rPr>
          <w:rFonts w:ascii="Courier New" w:hAnsi="Courier New" w:cs="Courier New"/>
          <w:sz w:val="22"/>
          <w:szCs w:val="22"/>
        </w:rPr>
        <w:t> bespreekt </w:t>
      </w:r>
      <w:r w:rsidRPr="002F2D78">
        <w:rPr>
          <w:rFonts w:ascii="Courier New" w:hAnsi="Courier New" w:cs="Courier New"/>
          <w:b/>
          <w:bCs/>
          <w:sz w:val="22"/>
          <w:szCs w:val="22"/>
        </w:rPr>
        <w:t>Tom Burke</w:t>
      </w:r>
      <w:r w:rsidRPr="002F2D78">
        <w:rPr>
          <w:rFonts w:ascii="Courier New" w:hAnsi="Courier New" w:cs="Courier New"/>
          <w:sz w:val="22"/>
          <w:szCs w:val="22"/>
        </w:rPr>
        <w:t> uitvoerig Dewey’s begrip </w:t>
      </w:r>
      <w:r w:rsidRPr="002F2D78">
        <w:rPr>
          <w:rFonts w:ascii="Courier New" w:hAnsi="Courier New" w:cs="Courier New"/>
          <w:i/>
          <w:iCs/>
          <w:sz w:val="22"/>
          <w:szCs w:val="22"/>
        </w:rPr>
        <w:t>situation</w:t>
      </w:r>
      <w:r w:rsidRPr="002F2D78">
        <w:rPr>
          <w:rFonts w:ascii="Courier New" w:hAnsi="Courier New" w:cs="Courier New"/>
          <w:sz w:val="22"/>
          <w:szCs w:val="22"/>
        </w:rPr>
        <w:t> en diens rol in het debat met </w:t>
      </w:r>
      <w:r w:rsidRPr="002F2D78">
        <w:rPr>
          <w:rFonts w:ascii="Courier New" w:hAnsi="Courier New" w:cs="Courier New"/>
          <w:b/>
          <w:bCs/>
          <w:sz w:val="22"/>
          <w:szCs w:val="22"/>
        </w:rPr>
        <w:t>Bertrand Russell</w:t>
      </w:r>
      <w:r w:rsidRPr="002F2D78">
        <w:rPr>
          <w:rFonts w:ascii="Courier New" w:hAnsi="Courier New" w:cs="Courier New"/>
          <w:sz w:val="22"/>
          <w:szCs w:val="22"/>
        </w:rPr>
        <w:t> over logica. Burke wil Dewey verdedigen tegen Russells kritiek, maar zijn interpretatie is volgens latere denkers, zoals </w:t>
      </w:r>
      <w:r w:rsidRPr="002F2D78">
        <w:rPr>
          <w:rFonts w:ascii="Courier New" w:hAnsi="Courier New" w:cs="Courier New"/>
          <w:b/>
          <w:bCs/>
          <w:sz w:val="22"/>
          <w:szCs w:val="22"/>
        </w:rPr>
        <w:t>Douglas Browning</w:t>
      </w:r>
      <w:r w:rsidRPr="002F2D78">
        <w:rPr>
          <w:rFonts w:ascii="Courier New" w:hAnsi="Courier New" w:cs="Courier New"/>
          <w:sz w:val="22"/>
          <w:szCs w:val="22"/>
        </w:rPr>
        <w:t>, problematisch. Browning biedt een alternatief dat beter aansluit bij Dewey’s eigen teksten en tegelijk enkele van Russells bezwaren ondervangt.</w:t>
      </w:r>
    </w:p>
    <w:p w14:paraId="302E9653"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Russell had Dewey verweten dat diens idee van een </w:t>
      </w:r>
      <w:r w:rsidRPr="002F2D78">
        <w:rPr>
          <w:rFonts w:ascii="Courier New" w:hAnsi="Courier New" w:cs="Courier New"/>
          <w:i/>
          <w:iCs/>
          <w:sz w:val="22"/>
          <w:szCs w:val="22"/>
        </w:rPr>
        <w:t>situation</w:t>
      </w:r>
      <w:r w:rsidRPr="002F2D78">
        <w:rPr>
          <w:rFonts w:ascii="Courier New" w:hAnsi="Courier New" w:cs="Courier New"/>
          <w:sz w:val="22"/>
          <w:szCs w:val="22"/>
        </w:rPr>
        <w:t> neerkwam op een vorm van </w:t>
      </w:r>
      <w:r w:rsidRPr="002F2D78">
        <w:rPr>
          <w:rFonts w:ascii="Courier New" w:hAnsi="Courier New" w:cs="Courier New"/>
          <w:b/>
          <w:bCs/>
          <w:sz w:val="22"/>
          <w:szCs w:val="22"/>
        </w:rPr>
        <w:t>holisme</w:t>
      </w:r>
      <w:r w:rsidRPr="002F2D78">
        <w:rPr>
          <w:rFonts w:ascii="Courier New" w:hAnsi="Courier New" w:cs="Courier New"/>
          <w:sz w:val="22"/>
          <w:szCs w:val="22"/>
        </w:rPr>
        <w:t xml:space="preserve">: als een situatie een “existentieel geheel” is en onderzoek continu plaatsvindt, dan zou een situatie </w:t>
      </w:r>
      <w:r w:rsidRPr="002F2D78">
        <w:rPr>
          <w:rFonts w:ascii="Courier New" w:hAnsi="Courier New" w:cs="Courier New"/>
          <w:sz w:val="22"/>
          <w:szCs w:val="22"/>
        </w:rPr>
        <w:lastRenderedPageBreak/>
        <w:t>noodzakelijk het </w:t>
      </w:r>
      <w:r w:rsidRPr="002F2D78">
        <w:rPr>
          <w:rFonts w:ascii="Courier New" w:hAnsi="Courier New" w:cs="Courier New"/>
          <w:b/>
          <w:bCs/>
          <w:sz w:val="22"/>
          <w:szCs w:val="22"/>
        </w:rPr>
        <w:t>hele universum</w:t>
      </w:r>
      <w:r w:rsidRPr="002F2D78">
        <w:rPr>
          <w:rFonts w:ascii="Courier New" w:hAnsi="Courier New" w:cs="Courier New"/>
          <w:sz w:val="22"/>
          <w:szCs w:val="22"/>
        </w:rPr>
        <w:t>omvatten. Dewey verwierp dit als een karikatuur. Hij stelde dat Russell hem verkeerd las: dat hij ooit door Hegel beïnvloed was, betekende niet dat hij een hegeliaanse totaliteit verdedigde. Situaties zijn bij Dewey geen allesomvattende gehelen, maar concrete ervaringscontexten waarin een </w:t>
      </w:r>
      <w:r w:rsidRPr="002F2D78">
        <w:rPr>
          <w:rFonts w:ascii="Courier New" w:hAnsi="Courier New" w:cs="Courier New"/>
          <w:b/>
          <w:bCs/>
          <w:sz w:val="22"/>
          <w:szCs w:val="22"/>
        </w:rPr>
        <w:t>organisme en zijn omgeving</w:t>
      </w:r>
      <w:r w:rsidRPr="002F2D78">
        <w:rPr>
          <w:rFonts w:ascii="Courier New" w:hAnsi="Courier New" w:cs="Courier New"/>
          <w:sz w:val="22"/>
          <w:szCs w:val="22"/>
        </w:rPr>
        <w:t> in wisselwerking staan.</w:t>
      </w:r>
    </w:p>
    <w:p w14:paraId="0649A9B9"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Burke probeerde Dewey’s positie te redden door te benadrukken dat situaties </w:t>
      </w:r>
      <w:r w:rsidRPr="002F2D78">
        <w:rPr>
          <w:rFonts w:ascii="Courier New" w:hAnsi="Courier New" w:cs="Courier New"/>
          <w:b/>
          <w:bCs/>
          <w:sz w:val="22"/>
          <w:szCs w:val="22"/>
        </w:rPr>
        <w:t>begrensd zijn</w:t>
      </w:r>
      <w:r w:rsidRPr="002F2D78">
        <w:rPr>
          <w:rFonts w:ascii="Courier New" w:hAnsi="Courier New" w:cs="Courier New"/>
          <w:sz w:val="22"/>
          <w:szCs w:val="22"/>
        </w:rPr>
        <w:t> door de reikwijdte van levende ervaring. Ze vormen een kwalitatieve eenheid die wordt bepaald door de context van handelen en voelen. Dewey stelde dat kennis en object niet los van hun omgevingsverband kunnen worden begrepen; wie dat wel doet, verliest het zicht op de situatie als kwalitatief geheel. Situaties worden samengehouden door een onmiddellijk ervaarbare, allesdoordringende kwaliteit — niet door abstracte definities of universele voorwaarden.</w:t>
      </w:r>
    </w:p>
    <w:p w14:paraId="5300E131"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Browning gaat verder en stelt dat Burke zelf de fout maakt van </w:t>
      </w:r>
      <w:r w:rsidRPr="002F2D78">
        <w:rPr>
          <w:rFonts w:ascii="Courier New" w:hAnsi="Courier New" w:cs="Courier New"/>
          <w:b/>
          <w:bCs/>
          <w:sz w:val="22"/>
          <w:szCs w:val="22"/>
        </w:rPr>
        <w:t>‘improper importation’</w:t>
      </w:r>
      <w:r w:rsidRPr="002F2D78">
        <w:rPr>
          <w:rFonts w:ascii="Courier New" w:hAnsi="Courier New" w:cs="Courier New"/>
          <w:sz w:val="22"/>
          <w:szCs w:val="22"/>
        </w:rPr>
        <w:t>: hij brengt elementen uit achterliggende metafysische theorieën binnen in Dewey’s logica. Burke behandelt situaties alsof ze cognitieve objecten zijn die kunnen worden beschreven of gedefinieerd. Volgens Browning zijn situaties bij Dewey daarentegen </w:t>
      </w:r>
      <w:r w:rsidRPr="002F2D78">
        <w:rPr>
          <w:rFonts w:ascii="Courier New" w:hAnsi="Courier New" w:cs="Courier New"/>
          <w:b/>
          <w:bCs/>
          <w:sz w:val="22"/>
          <w:szCs w:val="22"/>
        </w:rPr>
        <w:t>ervaringsmatig en niet-cognitief</w:t>
      </w:r>
      <w:r w:rsidRPr="002F2D78">
        <w:rPr>
          <w:rFonts w:ascii="Courier New" w:hAnsi="Courier New" w:cs="Courier New"/>
          <w:sz w:val="22"/>
          <w:szCs w:val="22"/>
        </w:rPr>
        <w:t>: ze worden geleefd, niet geanalyseerd. Een </w:t>
      </w:r>
      <w:r w:rsidRPr="002F2D78">
        <w:rPr>
          <w:rFonts w:ascii="Courier New" w:hAnsi="Courier New" w:cs="Courier New"/>
          <w:i/>
          <w:iCs/>
          <w:sz w:val="22"/>
          <w:szCs w:val="22"/>
        </w:rPr>
        <w:t>situation</w:t>
      </w:r>
      <w:r w:rsidRPr="002F2D78">
        <w:rPr>
          <w:rFonts w:ascii="Courier New" w:hAnsi="Courier New" w:cs="Courier New"/>
          <w:sz w:val="22"/>
          <w:szCs w:val="22"/>
        </w:rPr>
        <w:t> is geen object van reflectie maar de concrete context van ervaring waarin reflectie pas betekenis krijgt.</w:t>
      </w:r>
    </w:p>
    <w:p w14:paraId="63CBFD79"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Op basis van Browning laat zich aantonen dat Russell’s lezing van Dewey’s logica onhoudbaar is. Zijn conclusie – dat een situatie het hele universum omvat – botst met Dewey’s uitgangspunt dat elke situatie </w:t>
      </w:r>
      <w:r w:rsidRPr="002F2D78">
        <w:rPr>
          <w:rFonts w:ascii="Courier New" w:hAnsi="Courier New" w:cs="Courier New"/>
          <w:b/>
          <w:bCs/>
          <w:sz w:val="22"/>
          <w:szCs w:val="22"/>
        </w:rPr>
        <w:t>uniek, contextueel en kwalitatief bepaald</w:t>
      </w:r>
      <w:r w:rsidRPr="002F2D78">
        <w:rPr>
          <w:rFonts w:ascii="Courier New" w:hAnsi="Courier New" w:cs="Courier New"/>
          <w:sz w:val="22"/>
          <w:szCs w:val="22"/>
        </w:rPr>
        <w:t> is. Russell’s redenering berust op foutieve aannames en leidt tot absurde gevolgen: alsof alles in het universum direct invloed heeft op elk afzonderlijk gebeuren. Dewey’s situaties zijn echter lokale, ervaringsgebonden gehelen die niet te definiëren zijn, maar slechts te beschrijven in termen van hun voelbare, kwalitatieve eenheid.</w:t>
      </w:r>
    </w:p>
    <w:p w14:paraId="76FD6D2D" w14:textId="77777777" w:rsidR="002F2D78" w:rsidRPr="00571395" w:rsidRDefault="002F2D78" w:rsidP="00571395">
      <w:pPr>
        <w:spacing w:line="360" w:lineRule="auto"/>
        <w:rPr>
          <w:rFonts w:ascii="Courier New" w:hAnsi="Courier New" w:cs="Courier New"/>
          <w:sz w:val="22"/>
          <w:szCs w:val="22"/>
        </w:rPr>
      </w:pPr>
    </w:p>
    <w:p w14:paraId="6926A1F2" w14:textId="0427A614" w:rsidR="002F2D78" w:rsidRPr="00571395" w:rsidRDefault="002F2D78" w:rsidP="00571395">
      <w:pPr>
        <w:spacing w:line="360" w:lineRule="auto"/>
        <w:rPr>
          <w:rFonts w:ascii="Courier New" w:hAnsi="Courier New" w:cs="Courier New"/>
          <w:sz w:val="22"/>
          <w:szCs w:val="22"/>
        </w:rPr>
      </w:pPr>
      <w:r w:rsidRPr="00571395">
        <w:rPr>
          <w:rFonts w:ascii="Courier New" w:hAnsi="Courier New" w:cs="Courier New"/>
          <w:sz w:val="22"/>
          <w:szCs w:val="22"/>
        </w:rPr>
        <w:t>Conclusie</w:t>
      </w:r>
    </w:p>
    <w:p w14:paraId="1EC5919E"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In dit slothoofdstuk diagnosticeert de auteur de belangrijkste misinterpretaties van </w:t>
      </w:r>
      <w:r w:rsidRPr="002F2D78">
        <w:rPr>
          <w:rFonts w:ascii="Courier New" w:hAnsi="Courier New" w:cs="Courier New"/>
          <w:b/>
          <w:bCs/>
          <w:sz w:val="22"/>
          <w:szCs w:val="22"/>
        </w:rPr>
        <w:t xml:space="preserve">John Dewey’s theorie van onderzoek (theory of </w:t>
      </w:r>
      <w:r w:rsidRPr="002F2D78">
        <w:rPr>
          <w:rFonts w:ascii="Courier New" w:hAnsi="Courier New" w:cs="Courier New"/>
          <w:b/>
          <w:bCs/>
          <w:sz w:val="22"/>
          <w:szCs w:val="22"/>
        </w:rPr>
        <w:lastRenderedPageBreak/>
        <w:t>inquiry)</w:t>
      </w:r>
      <w:r w:rsidRPr="002F2D78">
        <w:rPr>
          <w:rFonts w:ascii="Courier New" w:hAnsi="Courier New" w:cs="Courier New"/>
          <w:sz w:val="22"/>
          <w:szCs w:val="22"/>
        </w:rPr>
        <w:t> door </w:t>
      </w:r>
      <w:r w:rsidRPr="002F2D78">
        <w:rPr>
          <w:rFonts w:ascii="Courier New" w:hAnsi="Courier New" w:cs="Courier New"/>
          <w:b/>
          <w:bCs/>
          <w:sz w:val="22"/>
          <w:szCs w:val="22"/>
        </w:rPr>
        <w:t>Bertrand Russell</w:t>
      </w:r>
      <w:r w:rsidRPr="002F2D78">
        <w:rPr>
          <w:rFonts w:ascii="Courier New" w:hAnsi="Courier New" w:cs="Courier New"/>
          <w:sz w:val="22"/>
          <w:szCs w:val="22"/>
        </w:rPr>
        <w:t> en </w:t>
      </w:r>
      <w:r w:rsidRPr="002F2D78">
        <w:rPr>
          <w:rFonts w:ascii="Courier New" w:hAnsi="Courier New" w:cs="Courier New"/>
          <w:b/>
          <w:bCs/>
          <w:sz w:val="22"/>
          <w:szCs w:val="22"/>
        </w:rPr>
        <w:t>Tom Burke</w:t>
      </w:r>
      <w:r w:rsidRPr="002F2D78">
        <w:rPr>
          <w:rFonts w:ascii="Courier New" w:hAnsi="Courier New" w:cs="Courier New"/>
          <w:sz w:val="22"/>
          <w:szCs w:val="22"/>
        </w:rPr>
        <w:t>. Beide denkers hebben volgens hem cruciale aspecten van Dewey’s logica verkeerd begrepen.</w:t>
      </w:r>
    </w:p>
    <w:p w14:paraId="1C70215C"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Russell leest zijn </w:t>
      </w:r>
      <w:r w:rsidRPr="002F2D78">
        <w:rPr>
          <w:rFonts w:ascii="Courier New" w:hAnsi="Courier New" w:cs="Courier New"/>
          <w:b/>
          <w:bCs/>
          <w:sz w:val="22"/>
          <w:szCs w:val="22"/>
        </w:rPr>
        <w:t>eigen correspondentietheorie van waarheid</w:t>
      </w:r>
      <w:r w:rsidRPr="002F2D78">
        <w:rPr>
          <w:rFonts w:ascii="Courier New" w:hAnsi="Courier New" w:cs="Courier New"/>
          <w:sz w:val="22"/>
          <w:szCs w:val="22"/>
        </w:rPr>
        <w:t> in Dewey’s werk en denkt dat Dewey ‘warranted assertibility’ als een vervanging voor waarheid gebruikt. In werkelijkheid stelde Dewey dat proposities noch waar noch onwaar zijn: waarheid speelt geen rol in zijn theorie van onderzoek. Russell beoordeelt Dewey dus vanuit zijn eigen, objectivistische waarheidsbegrip en mist zo het pragmatische en procesmatige karakter van Dewey’s denken.</w:t>
      </w:r>
    </w:p>
    <w:p w14:paraId="14BC7A6D"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Burke daarentegen interpreteert Dewey’s idee van </w:t>
      </w:r>
      <w:r w:rsidRPr="002F2D78">
        <w:rPr>
          <w:rFonts w:ascii="Courier New" w:hAnsi="Courier New" w:cs="Courier New"/>
          <w:i/>
          <w:iCs/>
          <w:sz w:val="22"/>
          <w:szCs w:val="22"/>
        </w:rPr>
        <w:t>situations</w:t>
      </w:r>
      <w:r w:rsidRPr="002F2D78">
        <w:rPr>
          <w:rFonts w:ascii="Courier New" w:hAnsi="Courier New" w:cs="Courier New"/>
          <w:sz w:val="22"/>
          <w:szCs w:val="22"/>
        </w:rPr>
        <w:t> voornamelijk in </w:t>
      </w:r>
      <w:r w:rsidRPr="002F2D78">
        <w:rPr>
          <w:rFonts w:ascii="Courier New" w:hAnsi="Courier New" w:cs="Courier New"/>
          <w:b/>
          <w:bCs/>
          <w:sz w:val="22"/>
          <w:szCs w:val="22"/>
        </w:rPr>
        <w:t>evolutionaire</w:t>
      </w:r>
      <w:r w:rsidRPr="002F2D78">
        <w:rPr>
          <w:rFonts w:ascii="Courier New" w:hAnsi="Courier New" w:cs="Courier New"/>
          <w:sz w:val="22"/>
          <w:szCs w:val="22"/>
        </w:rPr>
        <w:t> termen, als momenten van onevenwicht tussen organisme en omgeving. Daarmee negeert hij de </w:t>
      </w:r>
      <w:r w:rsidRPr="002F2D78">
        <w:rPr>
          <w:rFonts w:ascii="Courier New" w:hAnsi="Courier New" w:cs="Courier New"/>
          <w:b/>
          <w:bCs/>
          <w:sz w:val="22"/>
          <w:szCs w:val="22"/>
        </w:rPr>
        <w:t>sociale en ervaringsmatige dimensies</w:t>
      </w:r>
      <w:r w:rsidRPr="002F2D78">
        <w:rPr>
          <w:rFonts w:ascii="Courier New" w:hAnsi="Courier New" w:cs="Courier New"/>
          <w:sz w:val="22"/>
          <w:szCs w:val="22"/>
        </w:rPr>
        <w:t> van Dewey’s filosofie en het belang van diens </w:t>
      </w:r>
      <w:r w:rsidRPr="002F2D78">
        <w:rPr>
          <w:rFonts w:ascii="Courier New" w:hAnsi="Courier New" w:cs="Courier New"/>
          <w:i/>
          <w:iCs/>
          <w:sz w:val="22"/>
          <w:szCs w:val="22"/>
        </w:rPr>
        <w:t>postulate of immediate empiricism</w:t>
      </w:r>
      <w:r w:rsidRPr="002F2D78">
        <w:rPr>
          <w:rFonts w:ascii="Courier New" w:hAnsi="Courier New" w:cs="Courier New"/>
          <w:sz w:val="22"/>
          <w:szCs w:val="22"/>
        </w:rPr>
        <w:t>. Voor Dewey is onderzoek ingebed in sociale relaties en culturele contexten; situaties zijn niet louter biologische of fysieke processen, maar bestaan in de interactie tussen mens en omgeving binnen een sociaal veld.</w:t>
      </w:r>
    </w:p>
    <w:p w14:paraId="1DB15D53"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b/>
          <w:bCs/>
          <w:sz w:val="22"/>
          <w:szCs w:val="22"/>
        </w:rPr>
        <w:t>Douglas Browning</w:t>
      </w:r>
      <w:r w:rsidRPr="002F2D78">
        <w:rPr>
          <w:rFonts w:ascii="Courier New" w:hAnsi="Courier New" w:cs="Courier New"/>
          <w:sz w:val="22"/>
          <w:szCs w:val="22"/>
        </w:rPr>
        <w:t> bekritiseert Burke’s evolutionaire lezing en herstelt Dewey’s onderscheid tussen </w:t>
      </w:r>
      <w:r w:rsidRPr="002F2D78">
        <w:rPr>
          <w:rFonts w:ascii="Courier New" w:hAnsi="Courier New" w:cs="Courier New"/>
          <w:b/>
          <w:bCs/>
          <w:sz w:val="22"/>
          <w:szCs w:val="22"/>
        </w:rPr>
        <w:t>indeterminate</w:t>
      </w:r>
      <w:r w:rsidRPr="002F2D78">
        <w:rPr>
          <w:rFonts w:ascii="Courier New" w:hAnsi="Courier New" w:cs="Courier New"/>
          <w:sz w:val="22"/>
          <w:szCs w:val="22"/>
        </w:rPr>
        <w:t>, </w:t>
      </w:r>
      <w:r w:rsidRPr="002F2D78">
        <w:rPr>
          <w:rFonts w:ascii="Courier New" w:hAnsi="Courier New" w:cs="Courier New"/>
          <w:b/>
          <w:bCs/>
          <w:sz w:val="22"/>
          <w:szCs w:val="22"/>
        </w:rPr>
        <w:t>problematic</w:t>
      </w:r>
      <w:r w:rsidRPr="002F2D78">
        <w:rPr>
          <w:rFonts w:ascii="Courier New" w:hAnsi="Courier New" w:cs="Courier New"/>
          <w:sz w:val="22"/>
          <w:szCs w:val="22"/>
        </w:rPr>
        <w:t> en </w:t>
      </w:r>
      <w:r w:rsidRPr="002F2D78">
        <w:rPr>
          <w:rFonts w:ascii="Courier New" w:hAnsi="Courier New" w:cs="Courier New"/>
          <w:b/>
          <w:bCs/>
          <w:sz w:val="22"/>
          <w:szCs w:val="22"/>
        </w:rPr>
        <w:t>determinate situations</w:t>
      </w:r>
      <w:r w:rsidRPr="002F2D78">
        <w:rPr>
          <w:rFonts w:ascii="Courier New" w:hAnsi="Courier New" w:cs="Courier New"/>
          <w:sz w:val="22"/>
          <w:szCs w:val="22"/>
        </w:rPr>
        <w:t>. Hij toont aan dat Burke Dewey’s contextuele begrip van situaties verwart met louter indeterminatie.</w:t>
      </w:r>
    </w:p>
    <w:p w14:paraId="3855F5B2" w14:textId="77777777" w:rsidR="002F2D78" w:rsidRPr="002F2D78" w:rsidRDefault="002F2D78" w:rsidP="00571395">
      <w:pPr>
        <w:spacing w:line="360" w:lineRule="auto"/>
        <w:rPr>
          <w:rFonts w:ascii="Courier New" w:hAnsi="Courier New" w:cs="Courier New"/>
          <w:sz w:val="22"/>
          <w:szCs w:val="22"/>
        </w:rPr>
      </w:pPr>
      <w:r w:rsidRPr="002F2D78">
        <w:rPr>
          <w:rFonts w:ascii="Courier New" w:hAnsi="Courier New" w:cs="Courier New"/>
          <w:sz w:val="22"/>
          <w:szCs w:val="22"/>
        </w:rPr>
        <w:t>De auteur concludeert dat zowel Russell als Burke tekortschieten: de eerste door zijn objectivisme, de tweede door reductionisme. Dewey’s logica is juist revolutionair omdat zij logica verbindt met het </w:t>
      </w:r>
      <w:r w:rsidRPr="002F2D78">
        <w:rPr>
          <w:rFonts w:ascii="Courier New" w:hAnsi="Courier New" w:cs="Courier New"/>
          <w:b/>
          <w:bCs/>
          <w:sz w:val="22"/>
          <w:szCs w:val="22"/>
        </w:rPr>
        <w:t>concrete, sociale en ervaringsgerichte leven</w:t>
      </w:r>
      <w:r w:rsidRPr="002F2D78">
        <w:rPr>
          <w:rFonts w:ascii="Courier New" w:hAnsi="Courier New" w:cs="Courier New"/>
          <w:sz w:val="22"/>
          <w:szCs w:val="22"/>
        </w:rPr>
        <w:t>. Zij richt zich op hoe mensen in wisselwerking met hun omgeving problemen oplossen, en biedt zo een praktische, existentiële betekenis aan het begrip ‘inquiry’. (300 woorden)</w:t>
      </w:r>
    </w:p>
    <w:p w14:paraId="2948700E" w14:textId="77777777" w:rsidR="002F2D78" w:rsidRPr="00571395" w:rsidRDefault="002F2D78" w:rsidP="00571395">
      <w:pPr>
        <w:spacing w:line="360" w:lineRule="auto"/>
        <w:rPr>
          <w:rFonts w:ascii="Courier New" w:hAnsi="Courier New" w:cs="Courier New"/>
          <w:sz w:val="22"/>
          <w:szCs w:val="22"/>
        </w:rPr>
      </w:pPr>
    </w:p>
    <w:p w14:paraId="117135F0" w14:textId="77777777" w:rsidR="00571395" w:rsidRPr="00571395" w:rsidRDefault="00571395" w:rsidP="00571395">
      <w:pPr>
        <w:spacing w:line="360" w:lineRule="auto"/>
        <w:rPr>
          <w:rFonts w:ascii="Courier New" w:hAnsi="Courier New" w:cs="Courier New"/>
          <w:sz w:val="22"/>
          <w:szCs w:val="22"/>
        </w:rPr>
      </w:pPr>
    </w:p>
    <w:p w14:paraId="0697E47C" w14:textId="4C8102E9" w:rsidR="00571395" w:rsidRPr="00571395" w:rsidRDefault="00571395" w:rsidP="00571395">
      <w:pPr>
        <w:spacing w:line="360" w:lineRule="auto"/>
        <w:rPr>
          <w:rFonts w:ascii="Courier New" w:hAnsi="Courier New" w:cs="Courier New"/>
          <w:sz w:val="22"/>
          <w:szCs w:val="22"/>
        </w:rPr>
      </w:pPr>
      <w:r w:rsidRPr="00571395">
        <w:rPr>
          <w:rFonts w:ascii="Courier New" w:hAnsi="Courier New" w:cs="Courier New"/>
          <w:sz w:val="22"/>
          <w:szCs w:val="22"/>
        </w:rPr>
        <w:t>Deters, T.N. (2006). John Dewey’s Theory of Inquiry: An Interpretation of a classical American approach to log. Texas A&amp;M University, thesis</w:t>
      </w:r>
    </w:p>
    <w:sectPr w:rsidR="00571395" w:rsidRPr="005713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78"/>
    <w:rsid w:val="002F2D78"/>
    <w:rsid w:val="00380051"/>
    <w:rsid w:val="004351CA"/>
    <w:rsid w:val="00571395"/>
    <w:rsid w:val="00871378"/>
    <w:rsid w:val="00AA239E"/>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54B6318B"/>
  <w15:chartTrackingRefBased/>
  <w15:docId w15:val="{844B64D1-5EB7-4047-B369-8984AC04C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D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78"/>
    <w:rPr>
      <w:rFonts w:eastAsiaTheme="majorEastAsia" w:cstheme="majorBidi"/>
      <w:color w:val="272727" w:themeColor="text1" w:themeTint="D8"/>
    </w:rPr>
  </w:style>
  <w:style w:type="paragraph" w:styleId="Title">
    <w:name w:val="Title"/>
    <w:basedOn w:val="Normal"/>
    <w:next w:val="Normal"/>
    <w:link w:val="TitleChar"/>
    <w:uiPriority w:val="10"/>
    <w:qFormat/>
    <w:rsid w:val="002F2D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D78"/>
    <w:rPr>
      <w:i/>
      <w:iCs/>
      <w:color w:val="404040" w:themeColor="text1" w:themeTint="BF"/>
    </w:rPr>
  </w:style>
  <w:style w:type="paragraph" w:styleId="ListParagraph">
    <w:name w:val="List Paragraph"/>
    <w:basedOn w:val="Normal"/>
    <w:uiPriority w:val="34"/>
    <w:qFormat/>
    <w:rsid w:val="002F2D78"/>
    <w:pPr>
      <w:ind w:left="720"/>
      <w:contextualSpacing/>
    </w:pPr>
  </w:style>
  <w:style w:type="character" w:styleId="IntenseEmphasis">
    <w:name w:val="Intense Emphasis"/>
    <w:basedOn w:val="DefaultParagraphFont"/>
    <w:uiPriority w:val="21"/>
    <w:qFormat/>
    <w:rsid w:val="002F2D78"/>
    <w:rPr>
      <w:i/>
      <w:iCs/>
      <w:color w:val="0F4761" w:themeColor="accent1" w:themeShade="BF"/>
    </w:rPr>
  </w:style>
  <w:style w:type="paragraph" w:styleId="IntenseQuote">
    <w:name w:val="Intense Quote"/>
    <w:basedOn w:val="Normal"/>
    <w:next w:val="Normal"/>
    <w:link w:val="IntenseQuoteChar"/>
    <w:uiPriority w:val="30"/>
    <w:qFormat/>
    <w:rsid w:val="002F2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D78"/>
    <w:rPr>
      <w:i/>
      <w:iCs/>
      <w:color w:val="0F4761" w:themeColor="accent1" w:themeShade="BF"/>
    </w:rPr>
  </w:style>
  <w:style w:type="character" w:styleId="IntenseReference">
    <w:name w:val="Intense Reference"/>
    <w:basedOn w:val="DefaultParagraphFont"/>
    <w:uiPriority w:val="32"/>
    <w:qFormat/>
    <w:rsid w:val="002F2D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1373971">
      <w:bodyDiv w:val="1"/>
      <w:marLeft w:val="0"/>
      <w:marRight w:val="0"/>
      <w:marTop w:val="0"/>
      <w:marBottom w:val="0"/>
      <w:divBdr>
        <w:top w:val="none" w:sz="0" w:space="0" w:color="auto"/>
        <w:left w:val="none" w:sz="0" w:space="0" w:color="auto"/>
        <w:bottom w:val="none" w:sz="0" w:space="0" w:color="auto"/>
        <w:right w:val="none" w:sz="0" w:space="0" w:color="auto"/>
      </w:divBdr>
    </w:div>
    <w:div w:id="838926629">
      <w:bodyDiv w:val="1"/>
      <w:marLeft w:val="0"/>
      <w:marRight w:val="0"/>
      <w:marTop w:val="0"/>
      <w:marBottom w:val="0"/>
      <w:divBdr>
        <w:top w:val="none" w:sz="0" w:space="0" w:color="auto"/>
        <w:left w:val="none" w:sz="0" w:space="0" w:color="auto"/>
        <w:bottom w:val="none" w:sz="0" w:space="0" w:color="auto"/>
        <w:right w:val="none" w:sz="0" w:space="0" w:color="auto"/>
      </w:divBdr>
    </w:div>
    <w:div w:id="1087849211">
      <w:bodyDiv w:val="1"/>
      <w:marLeft w:val="0"/>
      <w:marRight w:val="0"/>
      <w:marTop w:val="0"/>
      <w:marBottom w:val="0"/>
      <w:divBdr>
        <w:top w:val="none" w:sz="0" w:space="0" w:color="auto"/>
        <w:left w:val="none" w:sz="0" w:space="0" w:color="auto"/>
        <w:bottom w:val="none" w:sz="0" w:space="0" w:color="auto"/>
        <w:right w:val="none" w:sz="0" w:space="0" w:color="auto"/>
      </w:divBdr>
    </w:div>
    <w:div w:id="1096514544">
      <w:bodyDiv w:val="1"/>
      <w:marLeft w:val="0"/>
      <w:marRight w:val="0"/>
      <w:marTop w:val="0"/>
      <w:marBottom w:val="0"/>
      <w:divBdr>
        <w:top w:val="none" w:sz="0" w:space="0" w:color="auto"/>
        <w:left w:val="none" w:sz="0" w:space="0" w:color="auto"/>
        <w:bottom w:val="none" w:sz="0" w:space="0" w:color="auto"/>
        <w:right w:val="none" w:sz="0" w:space="0" w:color="auto"/>
      </w:divBdr>
    </w:div>
    <w:div w:id="1123690758">
      <w:bodyDiv w:val="1"/>
      <w:marLeft w:val="0"/>
      <w:marRight w:val="0"/>
      <w:marTop w:val="0"/>
      <w:marBottom w:val="0"/>
      <w:divBdr>
        <w:top w:val="none" w:sz="0" w:space="0" w:color="auto"/>
        <w:left w:val="none" w:sz="0" w:space="0" w:color="auto"/>
        <w:bottom w:val="none" w:sz="0" w:space="0" w:color="auto"/>
        <w:right w:val="none" w:sz="0" w:space="0" w:color="auto"/>
      </w:divBdr>
    </w:div>
    <w:div w:id="1286811447">
      <w:bodyDiv w:val="1"/>
      <w:marLeft w:val="0"/>
      <w:marRight w:val="0"/>
      <w:marTop w:val="0"/>
      <w:marBottom w:val="0"/>
      <w:divBdr>
        <w:top w:val="none" w:sz="0" w:space="0" w:color="auto"/>
        <w:left w:val="none" w:sz="0" w:space="0" w:color="auto"/>
        <w:bottom w:val="none" w:sz="0" w:space="0" w:color="auto"/>
        <w:right w:val="none" w:sz="0" w:space="0" w:color="auto"/>
      </w:divBdr>
    </w:div>
    <w:div w:id="1329942087">
      <w:bodyDiv w:val="1"/>
      <w:marLeft w:val="0"/>
      <w:marRight w:val="0"/>
      <w:marTop w:val="0"/>
      <w:marBottom w:val="0"/>
      <w:divBdr>
        <w:top w:val="none" w:sz="0" w:space="0" w:color="auto"/>
        <w:left w:val="none" w:sz="0" w:space="0" w:color="auto"/>
        <w:bottom w:val="none" w:sz="0" w:space="0" w:color="auto"/>
        <w:right w:val="none" w:sz="0" w:space="0" w:color="auto"/>
      </w:divBdr>
    </w:div>
    <w:div w:id="1795950403">
      <w:bodyDiv w:val="1"/>
      <w:marLeft w:val="0"/>
      <w:marRight w:val="0"/>
      <w:marTop w:val="0"/>
      <w:marBottom w:val="0"/>
      <w:divBdr>
        <w:top w:val="none" w:sz="0" w:space="0" w:color="auto"/>
        <w:left w:val="none" w:sz="0" w:space="0" w:color="auto"/>
        <w:bottom w:val="none" w:sz="0" w:space="0" w:color="auto"/>
        <w:right w:val="none" w:sz="0" w:space="0" w:color="auto"/>
      </w:divBdr>
    </w:div>
    <w:div w:id="1954482619">
      <w:bodyDiv w:val="1"/>
      <w:marLeft w:val="0"/>
      <w:marRight w:val="0"/>
      <w:marTop w:val="0"/>
      <w:marBottom w:val="0"/>
      <w:divBdr>
        <w:top w:val="none" w:sz="0" w:space="0" w:color="auto"/>
        <w:left w:val="none" w:sz="0" w:space="0" w:color="auto"/>
        <w:bottom w:val="none" w:sz="0" w:space="0" w:color="auto"/>
        <w:right w:val="none" w:sz="0" w:space="0" w:color="auto"/>
      </w:divBdr>
      <w:divsChild>
        <w:div w:id="1008171553">
          <w:marLeft w:val="0"/>
          <w:marRight w:val="0"/>
          <w:marTop w:val="0"/>
          <w:marBottom w:val="0"/>
          <w:divBdr>
            <w:top w:val="none" w:sz="0" w:space="0" w:color="auto"/>
            <w:left w:val="none" w:sz="0" w:space="0" w:color="auto"/>
            <w:bottom w:val="none" w:sz="0" w:space="0" w:color="auto"/>
            <w:right w:val="none" w:sz="0" w:space="0" w:color="auto"/>
          </w:divBdr>
          <w:divsChild>
            <w:div w:id="1156216114">
              <w:marLeft w:val="0"/>
              <w:marRight w:val="0"/>
              <w:marTop w:val="0"/>
              <w:marBottom w:val="0"/>
              <w:divBdr>
                <w:top w:val="none" w:sz="0" w:space="0" w:color="auto"/>
                <w:left w:val="none" w:sz="0" w:space="0" w:color="auto"/>
                <w:bottom w:val="none" w:sz="0" w:space="0" w:color="auto"/>
                <w:right w:val="none" w:sz="0" w:space="0" w:color="auto"/>
              </w:divBdr>
              <w:divsChild>
                <w:div w:id="2138255709">
                  <w:marLeft w:val="0"/>
                  <w:marRight w:val="0"/>
                  <w:marTop w:val="0"/>
                  <w:marBottom w:val="0"/>
                  <w:divBdr>
                    <w:top w:val="none" w:sz="0" w:space="0" w:color="auto"/>
                    <w:left w:val="none" w:sz="0" w:space="0" w:color="auto"/>
                    <w:bottom w:val="none" w:sz="0" w:space="0" w:color="auto"/>
                    <w:right w:val="none" w:sz="0" w:space="0" w:color="auto"/>
                  </w:divBdr>
                  <w:divsChild>
                    <w:div w:id="16779298">
                      <w:marLeft w:val="0"/>
                      <w:marRight w:val="0"/>
                      <w:marTop w:val="0"/>
                      <w:marBottom w:val="0"/>
                      <w:divBdr>
                        <w:top w:val="none" w:sz="0" w:space="0" w:color="auto"/>
                        <w:left w:val="none" w:sz="0" w:space="0" w:color="auto"/>
                        <w:bottom w:val="none" w:sz="0" w:space="0" w:color="auto"/>
                        <w:right w:val="none" w:sz="0" w:space="0" w:color="auto"/>
                      </w:divBdr>
                      <w:divsChild>
                        <w:div w:id="1562401828">
                          <w:marLeft w:val="0"/>
                          <w:marRight w:val="0"/>
                          <w:marTop w:val="0"/>
                          <w:marBottom w:val="0"/>
                          <w:divBdr>
                            <w:top w:val="none" w:sz="0" w:space="0" w:color="auto"/>
                            <w:left w:val="none" w:sz="0" w:space="0" w:color="auto"/>
                            <w:bottom w:val="none" w:sz="0" w:space="0" w:color="auto"/>
                            <w:right w:val="none" w:sz="0" w:space="0" w:color="auto"/>
                          </w:divBdr>
                          <w:divsChild>
                            <w:div w:id="20189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663417">
      <w:bodyDiv w:val="1"/>
      <w:marLeft w:val="0"/>
      <w:marRight w:val="0"/>
      <w:marTop w:val="0"/>
      <w:marBottom w:val="0"/>
      <w:divBdr>
        <w:top w:val="none" w:sz="0" w:space="0" w:color="auto"/>
        <w:left w:val="none" w:sz="0" w:space="0" w:color="auto"/>
        <w:bottom w:val="none" w:sz="0" w:space="0" w:color="auto"/>
        <w:right w:val="none" w:sz="0" w:space="0" w:color="auto"/>
      </w:divBdr>
      <w:divsChild>
        <w:div w:id="2131388223">
          <w:marLeft w:val="0"/>
          <w:marRight w:val="0"/>
          <w:marTop w:val="0"/>
          <w:marBottom w:val="0"/>
          <w:divBdr>
            <w:top w:val="none" w:sz="0" w:space="0" w:color="auto"/>
            <w:left w:val="none" w:sz="0" w:space="0" w:color="auto"/>
            <w:bottom w:val="none" w:sz="0" w:space="0" w:color="auto"/>
            <w:right w:val="none" w:sz="0" w:space="0" w:color="auto"/>
          </w:divBdr>
          <w:divsChild>
            <w:div w:id="1270890083">
              <w:marLeft w:val="0"/>
              <w:marRight w:val="0"/>
              <w:marTop w:val="0"/>
              <w:marBottom w:val="0"/>
              <w:divBdr>
                <w:top w:val="none" w:sz="0" w:space="0" w:color="auto"/>
                <w:left w:val="none" w:sz="0" w:space="0" w:color="auto"/>
                <w:bottom w:val="none" w:sz="0" w:space="0" w:color="auto"/>
                <w:right w:val="none" w:sz="0" w:space="0" w:color="auto"/>
              </w:divBdr>
              <w:divsChild>
                <w:div w:id="1357584261">
                  <w:marLeft w:val="0"/>
                  <w:marRight w:val="0"/>
                  <w:marTop w:val="0"/>
                  <w:marBottom w:val="0"/>
                  <w:divBdr>
                    <w:top w:val="none" w:sz="0" w:space="0" w:color="auto"/>
                    <w:left w:val="none" w:sz="0" w:space="0" w:color="auto"/>
                    <w:bottom w:val="none" w:sz="0" w:space="0" w:color="auto"/>
                    <w:right w:val="none" w:sz="0" w:space="0" w:color="auto"/>
                  </w:divBdr>
                  <w:divsChild>
                    <w:div w:id="5837387">
                      <w:marLeft w:val="0"/>
                      <w:marRight w:val="0"/>
                      <w:marTop w:val="0"/>
                      <w:marBottom w:val="0"/>
                      <w:divBdr>
                        <w:top w:val="none" w:sz="0" w:space="0" w:color="auto"/>
                        <w:left w:val="none" w:sz="0" w:space="0" w:color="auto"/>
                        <w:bottom w:val="none" w:sz="0" w:space="0" w:color="auto"/>
                        <w:right w:val="none" w:sz="0" w:space="0" w:color="auto"/>
                      </w:divBdr>
                      <w:divsChild>
                        <w:div w:id="1175728355">
                          <w:marLeft w:val="0"/>
                          <w:marRight w:val="0"/>
                          <w:marTop w:val="0"/>
                          <w:marBottom w:val="0"/>
                          <w:divBdr>
                            <w:top w:val="none" w:sz="0" w:space="0" w:color="auto"/>
                            <w:left w:val="none" w:sz="0" w:space="0" w:color="auto"/>
                            <w:bottom w:val="none" w:sz="0" w:space="0" w:color="auto"/>
                            <w:right w:val="none" w:sz="0" w:space="0" w:color="auto"/>
                          </w:divBdr>
                          <w:divsChild>
                            <w:div w:id="26203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1820</Words>
  <Characters>10944</Characters>
  <Application>Microsoft Office Word</Application>
  <DocSecurity>0</DocSecurity>
  <Lines>173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1</cp:revision>
  <dcterms:created xsi:type="dcterms:W3CDTF">2025-10-09T13:56:00Z</dcterms:created>
  <dcterms:modified xsi:type="dcterms:W3CDTF">2025-10-09T14:09:00Z</dcterms:modified>
</cp:coreProperties>
</file>