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A83EB9"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b/>
          <w:bCs/>
          <w:sz w:val="22"/>
          <w:szCs w:val="22"/>
        </w:rPr>
        <w:t>East West Street: recht, herinnering en de breuklijn van de menselijkheid</w:t>
      </w:r>
    </w:p>
    <w:p w14:paraId="3D94D988" w14:textId="77777777" w:rsidR="00DC21D0" w:rsidRDefault="00DC21D0" w:rsidP="00DC21D0">
      <w:pPr>
        <w:spacing w:line="360" w:lineRule="auto"/>
        <w:rPr>
          <w:rFonts w:ascii="Courier New" w:hAnsi="Courier New" w:cs="Courier New"/>
          <w:sz w:val="22"/>
          <w:szCs w:val="22"/>
        </w:rPr>
      </w:pPr>
    </w:p>
    <w:p w14:paraId="4AA2311C" w14:textId="77777777" w:rsidR="00DC21D0" w:rsidRDefault="00DC21D0" w:rsidP="00DC21D0">
      <w:pPr>
        <w:spacing w:line="360" w:lineRule="auto"/>
        <w:rPr>
          <w:rFonts w:ascii="Courier New" w:hAnsi="Courier New" w:cs="Courier New"/>
          <w:sz w:val="22"/>
          <w:szCs w:val="22"/>
        </w:rPr>
      </w:pPr>
    </w:p>
    <w:p w14:paraId="007B37B2" w14:textId="6047CD1E" w:rsidR="00DC21D0" w:rsidRDefault="00DC21D0" w:rsidP="00DC21D0">
      <w:pPr>
        <w:spacing w:line="360" w:lineRule="auto"/>
        <w:rPr>
          <w:rFonts w:ascii="Courier New" w:hAnsi="Courier New" w:cs="Courier New"/>
          <w:i/>
          <w:iCs/>
          <w:sz w:val="22"/>
          <w:szCs w:val="22"/>
        </w:rPr>
      </w:pPr>
      <w:r w:rsidRPr="00DC21D0">
        <w:rPr>
          <w:rFonts w:ascii="Courier New" w:hAnsi="Courier New" w:cs="Courier New"/>
          <w:sz w:val="22"/>
          <w:szCs w:val="22"/>
        </w:rPr>
        <w:t>‘De bescherming van het individu en het idee van individuele strafrechtelijke verantwoordelijkheid voor de zwaarste misdrijven zouden deel uitmaken van de nieuwe rechtsorde. De soevereiniteit van de staat zou niet langer een absoluut toevluchtsoord bieden voor misdaden van een dergelijke omvang, althans in theorie.’</w:t>
      </w:r>
      <w:r w:rsidRPr="00DC21D0">
        <w:rPr>
          <w:rFonts w:ascii="Courier New" w:hAnsi="Courier New" w:cs="Courier New"/>
          <w:sz w:val="22"/>
          <w:szCs w:val="22"/>
        </w:rPr>
        <w:br/>
        <w:t>— Philippe Sands, </w:t>
      </w:r>
      <w:r w:rsidRPr="00DC21D0">
        <w:rPr>
          <w:rFonts w:ascii="Courier New" w:hAnsi="Courier New" w:cs="Courier New"/>
          <w:i/>
          <w:iCs/>
          <w:sz w:val="22"/>
          <w:szCs w:val="22"/>
        </w:rPr>
        <w:t>East West Street</w:t>
      </w:r>
    </w:p>
    <w:p w14:paraId="38403A91" w14:textId="77777777" w:rsidR="00DC21D0" w:rsidRDefault="00DC21D0" w:rsidP="00DC21D0">
      <w:pPr>
        <w:spacing w:line="360" w:lineRule="auto"/>
        <w:rPr>
          <w:rFonts w:ascii="Courier New" w:hAnsi="Courier New" w:cs="Courier New"/>
          <w:sz w:val="22"/>
          <w:szCs w:val="22"/>
        </w:rPr>
      </w:pPr>
    </w:p>
    <w:p w14:paraId="3DBB94CA" w14:textId="77777777" w:rsidR="00DC21D0" w:rsidRPr="00DC21D0" w:rsidRDefault="00DC21D0" w:rsidP="00DC21D0">
      <w:pPr>
        <w:spacing w:line="360" w:lineRule="auto"/>
        <w:rPr>
          <w:rFonts w:ascii="Courier New" w:hAnsi="Courier New" w:cs="Courier New"/>
          <w:sz w:val="22"/>
          <w:szCs w:val="22"/>
        </w:rPr>
      </w:pPr>
    </w:p>
    <w:p w14:paraId="12145E24"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Met </w:t>
      </w:r>
      <w:r w:rsidRPr="00DC21D0">
        <w:rPr>
          <w:rFonts w:ascii="Courier New" w:hAnsi="Courier New" w:cs="Courier New"/>
          <w:i/>
          <w:iCs/>
          <w:sz w:val="22"/>
          <w:szCs w:val="22"/>
        </w:rPr>
        <w:t>East West Street: On the Origins of “Genocide” and “Crimes Against Humanity”</w:t>
      </w:r>
      <w:r w:rsidRPr="00DC21D0">
        <w:rPr>
          <w:rFonts w:ascii="Courier New" w:hAnsi="Courier New" w:cs="Courier New"/>
          <w:sz w:val="22"/>
          <w:szCs w:val="22"/>
        </w:rPr>
        <w:t> (2017) schreef Philippe Sands een boek dat zich onttrekt aan elke eenduidige genre-indeling. Het is tegelijk familiegeschiedenis, intellectuele rechtsgeschiedenis, procesverslag en morele reflectie. Sands, internationaal mensenrechtenadvocaat en hoogleraar recht, verweeft zijn persoonlijke zoektocht naar het lot van zijn familie onder het naziregime met de ontstaansgeschiedenis van twee juridische begrippen die het internationale recht blijvend hebben gevormd: genocide en misdaden tegen de menselijkheid. Juist deze verwevenheid van het persoonlijke en het juridische verleent het boek zijn uitzonderlijke kracht. </w:t>
      </w:r>
      <w:r w:rsidRPr="00DC21D0">
        <w:rPr>
          <w:rFonts w:ascii="Courier New" w:hAnsi="Courier New" w:cs="Courier New"/>
          <w:i/>
          <w:iCs/>
          <w:sz w:val="22"/>
          <w:szCs w:val="22"/>
        </w:rPr>
        <w:t>East West Street</w:t>
      </w:r>
      <w:r w:rsidRPr="00DC21D0">
        <w:rPr>
          <w:rFonts w:ascii="Courier New" w:hAnsi="Courier New" w:cs="Courier New"/>
          <w:sz w:val="22"/>
          <w:szCs w:val="22"/>
        </w:rPr>
        <w:t> maakt invoelbaar dat recht geen abstract systeem is dat losstaat van menselijk lijden, maar een historisch gegroeid antwoord op extreme vormen van geweld, ontmenselijking en morele ontwrichting.</w:t>
      </w:r>
    </w:p>
    <w:p w14:paraId="326C4094"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De actualiteit van Sands’ boek is onmiskenbaar. De concepten die in de nasleep van de Holocaust werden ontwikkeld om massaal geweld juridisch te benoemen en te vervolgen, staan vandaag opnieuw onder druk. We leven in een tijd van toenemend autoritarisme, afkalvende internationale solidariteit en een terugtrekkende beweging uit de naoorlogse, op regels gebaseerde wereldorde. Het internationale recht wordt steeds vaker selectief toegepast, genegeerd of openlijk aangevallen. In die context fungeert </w:t>
      </w:r>
      <w:r w:rsidRPr="00DC21D0">
        <w:rPr>
          <w:rFonts w:ascii="Courier New" w:hAnsi="Courier New" w:cs="Courier New"/>
          <w:i/>
          <w:iCs/>
          <w:sz w:val="22"/>
          <w:szCs w:val="22"/>
        </w:rPr>
        <w:t>East West Street</w:t>
      </w:r>
      <w:r w:rsidRPr="00DC21D0">
        <w:rPr>
          <w:rFonts w:ascii="Courier New" w:hAnsi="Courier New" w:cs="Courier New"/>
          <w:sz w:val="22"/>
          <w:szCs w:val="22"/>
        </w:rPr>
        <w:t> niet alleen als historische reconstructie, maar ook als morele waarschuwing: een herinnering aan wat er op het spel staat wanneer juridische begrippen hun normatieve kracht verliezen.</w:t>
      </w:r>
    </w:p>
    <w:p w14:paraId="7DF64744" w14:textId="24CB74F6" w:rsidR="00DC21D0" w:rsidRDefault="00DC21D0" w:rsidP="00DC21D0">
      <w:pPr>
        <w:spacing w:line="360" w:lineRule="auto"/>
        <w:rPr>
          <w:rFonts w:ascii="Courier New" w:hAnsi="Courier New" w:cs="Courier New"/>
          <w:b/>
          <w:bCs/>
          <w:sz w:val="22"/>
          <w:szCs w:val="22"/>
        </w:rPr>
      </w:pPr>
    </w:p>
    <w:p w14:paraId="000F84AF" w14:textId="77777777" w:rsidR="00DC21D0" w:rsidRPr="00DC21D0" w:rsidRDefault="00DC21D0" w:rsidP="00DC21D0">
      <w:pPr>
        <w:spacing w:line="360" w:lineRule="auto"/>
        <w:rPr>
          <w:rFonts w:ascii="Courier New" w:hAnsi="Courier New" w:cs="Courier New"/>
          <w:b/>
          <w:bCs/>
          <w:sz w:val="22"/>
          <w:szCs w:val="22"/>
        </w:rPr>
      </w:pPr>
    </w:p>
    <w:p w14:paraId="6C18E78F"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Het geografische en morele hart van het boek is Lviv, een stad met vele namen – Lemberg, Lvov, Lwów – en een geschiedenis van wisselende grenzen en overlappende claims. Deze stad, symbool van de instabiliteit van Midden- en Oost-Europa, vormt het kruispunt waar de levens van drie centrale figuren elkaar raken: Leon Buchholz, de grootvader van Sands, en de juristen Hersch Lauterpacht en Raphael Lemkin. Alle drie zijn zij Joods, allen ervaren zij op verschillende manieren de vernietigende kracht van het Europese antisemitisme, en allen ontvluchten zij – ieder op zijn eigen manier – het geweld dat Europa in de eerste helft van de twintigste eeuw overspoelde.</w:t>
      </w:r>
    </w:p>
    <w:p w14:paraId="1278581B"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Leon Buchholz is de enige van zijn uitgebreide familie die de Holocaust overleeft. Zijn levensloop, die Sands stukje bij beetje reconstrueert, voert van Galicië via Wenen naar Parijs, en uiteindelijk naar een bestaan dat wordt getekend door verlies, zwijgen en onuitgesproken trauma. Lauterpacht en Lemkin ontsnappen eveneens, via omwegen, naar het Westen. Beiden belanden in de Verenigde Staten, waar zij onafhankelijk van elkaar beginnen te werken aan juridische concepten die later van wereldhistorisch belang zullen blijken.</w:t>
      </w:r>
    </w:p>
    <w:p w14:paraId="2DD8C0BA"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Wat aanvankelijk drie afzonderlijke verhalen lijken – dat van een familie, dat van een jurist die het individu centraal stelt, en dat van een jurist die het lot van groepen onderzoekt – groeit bij Sands uit tot één moreel en juridisch drama. Zijn vertelkunst schuilt in het laten samenvallen van deze levenslijnen, zonder ze kunstmatig te vereenvoudigen. Het persoonlijke wordt nooit gereduceerd tot illustratie van het juridische; het juridische nooit losgezongen van de existentiële ervaringen waaruit het is voortgekomen.</w:t>
      </w:r>
    </w:p>
    <w:p w14:paraId="476C786A"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De dramatische climax van </w:t>
      </w:r>
      <w:r w:rsidRPr="00DC21D0">
        <w:rPr>
          <w:rFonts w:ascii="Courier New" w:hAnsi="Courier New" w:cs="Courier New"/>
          <w:i/>
          <w:iCs/>
          <w:sz w:val="22"/>
          <w:szCs w:val="22"/>
        </w:rPr>
        <w:t>East West Street</w:t>
      </w:r>
      <w:r w:rsidRPr="00DC21D0">
        <w:rPr>
          <w:rFonts w:ascii="Courier New" w:hAnsi="Courier New" w:cs="Courier New"/>
          <w:sz w:val="22"/>
          <w:szCs w:val="22"/>
        </w:rPr>
        <w:t> ligt in Neurenberg. Sands opent dit deel van zijn verhaal met een uitnodiging: een uitnodiging om het Paleis van Justitie te betreden, waar het proces plaatsvond tegen de leiders van het naziregime. Neurenberg fungeert hier niet alleen als historische locatie, maar als symbolisch podium waarop een nieuwe juridische taal wordt uitgevonden.</w:t>
      </w:r>
    </w:p>
    <w:p w14:paraId="275451A7"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lastRenderedPageBreak/>
        <w:t>Onder de aangeklaagden bevindt zich Hans Frank, gouverneur-generaal van bezet Polen en persoonlijk jurist van Adolf Hitler. Frank is verantwoordelijk voor de systematische vervolging en vernietiging van miljoenen Joden. Tijdens het proces wordt hij aangeklaagd wegens onder meer misdaden tegen de menselijkheid. Uiteindelijk wordt hij ter dood veroordeeld en opgehangen.</w:t>
      </w:r>
    </w:p>
    <w:p w14:paraId="68CD30A8"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Hersch Lauterpacht is als juridisch adviseur en aanklager nauw betrokken bij de processen. Raphael Lemkin, lichamelijk en geestelijk uitgeput, volgt de gebeurtenissen vanuit een ziekenhuisbed in Parijs. Beiden zien in Neurenberg de mogelijkheid om definitief te breken met het klassieke idee dat staatssoevereiniteit absolute bescherming biedt tegen externe inmenging. Het beginsel dat individuen – ook staatshoofden en hoge functionarissen – strafrechtelijk aansprakelijk kunnen worden gesteld voor internationale misdrijven vormt een revolutionaire verschuiving in het recht.</w:t>
      </w:r>
    </w:p>
    <w:p w14:paraId="3758220A"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Centraal in </w:t>
      </w:r>
      <w:r w:rsidRPr="00DC21D0">
        <w:rPr>
          <w:rFonts w:ascii="Courier New" w:hAnsi="Courier New" w:cs="Courier New"/>
          <w:i/>
          <w:iCs/>
          <w:sz w:val="22"/>
          <w:szCs w:val="22"/>
        </w:rPr>
        <w:t>East West Street</w:t>
      </w:r>
      <w:r w:rsidRPr="00DC21D0">
        <w:rPr>
          <w:rFonts w:ascii="Courier New" w:hAnsi="Courier New" w:cs="Courier New"/>
          <w:sz w:val="22"/>
          <w:szCs w:val="22"/>
        </w:rPr>
        <w:t> staat de spanning tussen twee juridische benaderingen van massaal geweld. Lauterpacht ontwikkelt het concept misdaden tegen de menselijkheid, waarin het individu wordt beschermd tegen grootschalige en systematische aanvallen, ongeacht groepsidentiteit. Lemkin introduceert het begrip genocide, gericht op de opzettelijke vernietiging van groepen mensen op basis van gedeelde kenmerken zoals etniciteit, religie of nationaliteit.</w:t>
      </w:r>
    </w:p>
    <w:p w14:paraId="737BFEC4" w14:textId="7D8DE702"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Dit verschil is geen louter terminologische nuance, maar raakt aan fundamentele vragen over hoe het recht geweld begrijpt en benoemt. Lemkin vreest dat zonder de erkenning van genocide het specifieke kwaad van groepsvernietiging onzichtbaar blijft. De vernietiging van een volk, cultuur of religieuze gemeenschap is volgens hem een misdaad sui generis, die niet adequaat kan worden gevat in het taalveld van individuele rechten.</w:t>
      </w:r>
      <w:r>
        <w:rPr>
          <w:rFonts w:ascii="Courier New" w:hAnsi="Courier New" w:cs="Courier New"/>
          <w:sz w:val="22"/>
          <w:szCs w:val="22"/>
        </w:rPr>
        <w:t xml:space="preserve"> </w:t>
      </w:r>
      <w:r w:rsidRPr="00DC21D0">
        <w:rPr>
          <w:rFonts w:ascii="Courier New" w:hAnsi="Courier New" w:cs="Courier New"/>
          <w:sz w:val="22"/>
          <w:szCs w:val="22"/>
        </w:rPr>
        <w:t>Lauterpacht daarentegen waarschuwt voor het gevaar dat het benadrukken van groepsidentiteiten het denken in collectieve categorieën juist versterkt – precies het denken dat aan genocidaal geweld ten grondslag ligt. Voor hem moet het recht primair het individu beschermen, juist om te voorkomen dat mensen worden gereduceerd tot leden van een abstracte groep.</w:t>
      </w:r>
    </w:p>
    <w:p w14:paraId="76E98F60"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 xml:space="preserve">Sands beschrijft hoe deze spanning ook persoonlijk wordt. Lemkin en Lauterpacht delen een achtergrond, een morele </w:t>
      </w:r>
      <w:r w:rsidRPr="00DC21D0">
        <w:rPr>
          <w:rFonts w:ascii="Courier New" w:hAnsi="Courier New" w:cs="Courier New"/>
          <w:sz w:val="22"/>
          <w:szCs w:val="22"/>
        </w:rPr>
        <w:lastRenderedPageBreak/>
        <w:t>verontwaardiging en een diep geloof in de normatieve kracht van het recht, maar hun juridische visies botsen. Die botsing weerspiegelt een discussie die tot op vandaag voortduurt: beschermt het recht mensen het best door individuen centraal te stellen, of door expliciete erkenning te geven aan collectieve identiteiten en het geweld dat daartegen wordt gepleegd?</w:t>
      </w:r>
    </w:p>
    <w:p w14:paraId="7E22779E"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Na Neurenberg krijgt het begrip genocide een bijna iconische status in het internationale recht. In politieke en morele discoursen wordt genocide vaak beschouwd als het ‘hoogste’ internationale misdrijf, ernstiger dan misdaden tegen de menselijkheid. Sands wijst op de problemen van deze hiërarchisering. Enerzijds doet zij recht aan het specifieke kwaad van groepsvernietiging; anderzijds kan zij leiden tot de onderwaardering van andere vormen van massaal geweld, zoals grootschalige deportaties, systematische marteling of politieke terreur.</w:t>
      </w:r>
    </w:p>
    <w:p w14:paraId="0B53E4DC"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Bovendien schuilt hierin een paradox. Het juridische erkennen van genocide kan bijdragen aan het versterken van groepsidentiteiten en exclusieve slachtofferschappen, die vervolgens politiek worden ingezet in nationale narratieven of processen van natievorming. Slachtofferschap wordt dan niet alleen juridisch erkend, maar ook symbolisch geclaimd. Sands lost deze spanning niet op; hij laat haar bewust bestaan als een onvermijdelijk dilemma van het recht.</w:t>
      </w:r>
    </w:p>
    <w:p w14:paraId="2C7F7429"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Ontkenning is echter geen optie. De intentie om groepen mensen uit te roeien op basis van gedeelde kenmerken is historisch aantoonbaar en moreel onmiskenbaar. Juist daarom is juridische erkenning noodzakelijk. Het onderscheid tussen genocide en misdaden tegen de menselijkheid is geen kwestie van gradatie, maar van aard: beide begrippen benoemen verschillende vormen van kwaad, die elk hun eigen juridische en morele logica vereisen.</w:t>
      </w:r>
    </w:p>
    <w:p w14:paraId="30981120" w14:textId="2B06F9AD" w:rsidR="00DC21D0" w:rsidRDefault="00DC21D0" w:rsidP="00DC21D0">
      <w:pPr>
        <w:spacing w:line="360" w:lineRule="auto"/>
        <w:rPr>
          <w:rFonts w:ascii="Courier New" w:hAnsi="Courier New" w:cs="Courier New"/>
          <w:b/>
          <w:bCs/>
          <w:sz w:val="22"/>
          <w:szCs w:val="22"/>
        </w:rPr>
      </w:pPr>
    </w:p>
    <w:p w14:paraId="6D7FB129" w14:textId="77777777" w:rsidR="00DC21D0" w:rsidRPr="00DC21D0" w:rsidRDefault="00DC21D0" w:rsidP="00DC21D0">
      <w:pPr>
        <w:spacing w:line="360" w:lineRule="auto"/>
        <w:rPr>
          <w:rFonts w:ascii="Courier New" w:hAnsi="Courier New" w:cs="Courier New"/>
          <w:b/>
          <w:bCs/>
          <w:sz w:val="22"/>
          <w:szCs w:val="22"/>
        </w:rPr>
      </w:pPr>
    </w:p>
    <w:p w14:paraId="54D5D65C"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 xml:space="preserve">De erfenis van het internationale strafrecht is onlosmakelijk verbonden met de Holocaust. Deze vormt het morele nulpunt waarop onmiskenbaar wordt dat bestaande juridische kaders tekortschoten. Wat de Holocaust onderscheidt van andere vormen van massaal geweld is niet alleen de schaal, maar ook de bureaucratische, industriële </w:t>
      </w:r>
      <w:r w:rsidRPr="00DC21D0">
        <w:rPr>
          <w:rFonts w:ascii="Courier New" w:hAnsi="Courier New" w:cs="Courier New"/>
          <w:sz w:val="22"/>
          <w:szCs w:val="22"/>
        </w:rPr>
        <w:lastRenderedPageBreak/>
        <w:t>en ideologisch gedreven aard van de vernietiging. Dit was geen ontsporing van oorlog, maar doelbewuste uitroeiing.</w:t>
      </w:r>
    </w:p>
    <w:p w14:paraId="2A8D6A2E"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Sands laat zien hoe deze geschiedenis doorwerkt in latere rechtszaken, zoals de arrestatie van Augusto Pinochet in Londen in 1998. Dit moment markeert een doorbraak van het principe van universele jurisdictie: het idee dat ernstige internationale misdrijven overal vervolgd kunnen worden, ongeacht waar zij zijn gepleegd. Daarmee wordt een begin gemaakt met het daadwerkelijk doorbreken van soevereine straffeloosheid.</w:t>
      </w:r>
    </w:p>
    <w:p w14:paraId="0E2F29A0"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Tegelijkertijd toont Sands zich realistisch over de fragiliteit van deze vooruitgang. Het internationale recht is geen vanzelfsprekend gegeven, maar een kwetsbaar normatief bouwwerk dat voortdurend verdedigd en herijkt moet worden. In de eenentwintigste eeuw wordt dit bouwwerk van alle kanten onder druk gezet.</w:t>
      </w:r>
    </w:p>
    <w:p w14:paraId="74D50A06" w14:textId="77777777" w:rsid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Van Gaza tot Soedan, van Oekraïne tot Myanmar, worden burgers blootgesteld aan grootschalig geweld dat juridisch kan worden gekwalificeerd als genocide of misdaden tegen de menselijkheid. Tegelijkertijd ondermijnen machtige staten het internationale recht wanneer het hun politieke of economische belangen schaadt. Mensenrechten worden gepresenteerd als obstakel voor soevereiniteit, veiligheid of nationale identiteit.</w:t>
      </w:r>
    </w:p>
    <w:p w14:paraId="6686C84E" w14:textId="74D118F0"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Ook in Europa is deze erosie zichtbaar. De Britse regering, ooit een uitgesproken verdediger van het Europees Verdrag voor de Rechten van de Mens, framet mensenrechten steeds vaker als hinderpaal voor nationaal beleid, met name op het gebied van migratie. Zo verschuiven mensenrechten van moreel fundament naar politiek probleem.</w:t>
      </w:r>
    </w:p>
    <w:p w14:paraId="5BBF4DE6"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Toch laat </w:t>
      </w:r>
      <w:r w:rsidRPr="00DC21D0">
        <w:rPr>
          <w:rFonts w:ascii="Courier New" w:hAnsi="Courier New" w:cs="Courier New"/>
          <w:i/>
          <w:iCs/>
          <w:sz w:val="22"/>
          <w:szCs w:val="22"/>
        </w:rPr>
        <w:t>East West Street</w:t>
      </w:r>
      <w:r w:rsidRPr="00DC21D0">
        <w:rPr>
          <w:rFonts w:ascii="Courier New" w:hAnsi="Courier New" w:cs="Courier New"/>
          <w:sz w:val="22"/>
          <w:szCs w:val="22"/>
        </w:rPr>
        <w:t> ook ruimte voor tegenbewegingen. Sands wijst op pogingen om nieuwe vormen van structureel geweld juridisch te benoemen, zoals de strijd van vrouwen in Iran en Afghanistan voor erkenning van genderapartheid als misdaad tegen de menselijkheid. Het Internationaal Strafhof zet, zij het aarzelend, stappen om deze claims serieus te nemen. Daarmee wordt zichtbaar dat het internationale recht geen afgesloten hoofdstuk is, maar een dynamisch proces van morele herinterpretatie.</w:t>
      </w:r>
    </w:p>
    <w:p w14:paraId="551C4A2B" w14:textId="77777777" w:rsidR="00DC21D0" w:rsidRPr="00DC21D0" w:rsidRDefault="00DC21D0" w:rsidP="00DC21D0">
      <w:pPr>
        <w:spacing w:line="360" w:lineRule="auto"/>
        <w:ind w:firstLine="720"/>
        <w:rPr>
          <w:rFonts w:ascii="Courier New" w:hAnsi="Courier New" w:cs="Courier New"/>
          <w:sz w:val="22"/>
          <w:szCs w:val="22"/>
        </w:rPr>
      </w:pPr>
      <w:r w:rsidRPr="00DC21D0">
        <w:rPr>
          <w:rFonts w:ascii="Courier New" w:hAnsi="Courier New" w:cs="Courier New"/>
          <w:sz w:val="22"/>
          <w:szCs w:val="22"/>
        </w:rPr>
        <w:t>In die zin laat </w:t>
      </w:r>
      <w:r w:rsidRPr="00DC21D0">
        <w:rPr>
          <w:rFonts w:ascii="Courier New" w:hAnsi="Courier New" w:cs="Courier New"/>
          <w:i/>
          <w:iCs/>
          <w:sz w:val="22"/>
          <w:szCs w:val="22"/>
        </w:rPr>
        <w:t>East West Street</w:t>
      </w:r>
      <w:r w:rsidRPr="00DC21D0">
        <w:rPr>
          <w:rFonts w:ascii="Courier New" w:hAnsi="Courier New" w:cs="Courier New"/>
          <w:sz w:val="22"/>
          <w:szCs w:val="22"/>
        </w:rPr>
        <w:t xml:space="preserve"> zien dat recht geen eindpunt is, maar een voortdurend proces van morele herijking. Juridische </w:t>
      </w:r>
      <w:r w:rsidRPr="00DC21D0">
        <w:rPr>
          <w:rFonts w:ascii="Courier New" w:hAnsi="Courier New" w:cs="Courier New"/>
          <w:sz w:val="22"/>
          <w:szCs w:val="22"/>
        </w:rPr>
        <w:lastRenderedPageBreak/>
        <w:t>concepten ontstaan niet in een vacuüm; zij worden geboren uit menselijk lijden en zijn bedoeld om herhaling te voorkomen. Wanneer zij worden uitgehold, genegeerd of selectief toegepast, verdwijnt niet alleen hun juridische kracht, maar ook hun morele betekenis.</w:t>
      </w:r>
    </w:p>
    <w:p w14:paraId="395636C1" w14:textId="77777777"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i/>
          <w:iCs/>
          <w:sz w:val="22"/>
          <w:szCs w:val="22"/>
        </w:rPr>
        <w:t>East West Street</w:t>
      </w:r>
      <w:r w:rsidRPr="00DC21D0">
        <w:rPr>
          <w:rFonts w:ascii="Courier New" w:hAnsi="Courier New" w:cs="Courier New"/>
          <w:sz w:val="22"/>
          <w:szCs w:val="22"/>
        </w:rPr>
        <w:t> is daarom meer dan een geschiedenisles. Het is een waarschuwing. Als de opkomst van genocide en misdaden tegen de menselijkheid het morele hoogtepunt vormde van een poging om een ethische wereldorde te bouwen na de Holocaust, dan markeert de huidige ontmanteling van mensenrechten een gevaarlijk dieptepunt. Sands roept zijn lezers op de lessen van de geschiedenis niet alleen te herinneren, maar actief te blijven toepassen – in het recht, in de politiek en in ons begrip van menselijkheid zelf.</w:t>
      </w:r>
    </w:p>
    <w:p w14:paraId="5B67ABF1" w14:textId="77777777" w:rsidR="00C32A93" w:rsidRDefault="00C32A93" w:rsidP="00DC21D0">
      <w:pPr>
        <w:spacing w:line="360" w:lineRule="auto"/>
      </w:pPr>
    </w:p>
    <w:p w14:paraId="0823C7E7" w14:textId="77777777" w:rsidR="00DC21D0" w:rsidRDefault="00DC21D0" w:rsidP="00DC21D0">
      <w:pPr>
        <w:spacing w:line="360" w:lineRule="auto"/>
      </w:pPr>
    </w:p>
    <w:p w14:paraId="46AE1360" w14:textId="4C237614" w:rsidR="00DC21D0" w:rsidRPr="00DC21D0" w:rsidRDefault="00DC21D0" w:rsidP="00DC21D0">
      <w:pPr>
        <w:spacing w:line="360" w:lineRule="auto"/>
        <w:rPr>
          <w:rFonts w:ascii="Courier New" w:hAnsi="Courier New" w:cs="Courier New"/>
          <w:sz w:val="22"/>
          <w:szCs w:val="22"/>
        </w:rPr>
      </w:pPr>
      <w:r w:rsidRPr="00DC21D0">
        <w:rPr>
          <w:rFonts w:ascii="Courier New" w:hAnsi="Courier New" w:cs="Courier New"/>
          <w:sz w:val="22"/>
          <w:szCs w:val="22"/>
        </w:rPr>
        <w:t xml:space="preserve">Sands, P. (2017). </w:t>
      </w:r>
      <w:r w:rsidRPr="00DC21D0">
        <w:rPr>
          <w:rFonts w:ascii="Courier New" w:hAnsi="Courier New" w:cs="Courier New"/>
          <w:i/>
          <w:iCs/>
          <w:sz w:val="22"/>
          <w:szCs w:val="22"/>
        </w:rPr>
        <w:t>East West Street. On the Origins of Genocide and Crimes Against Humanity</w:t>
      </w:r>
      <w:r w:rsidRPr="00DC21D0">
        <w:rPr>
          <w:rFonts w:ascii="Courier New" w:hAnsi="Courier New" w:cs="Courier New"/>
          <w:sz w:val="22"/>
          <w:szCs w:val="22"/>
        </w:rPr>
        <w:t>. London: Weidenfeld&amp;Nicolson</w:t>
      </w:r>
      <w:r>
        <w:rPr>
          <w:rFonts w:ascii="Courier New" w:hAnsi="Courier New" w:cs="Courier New"/>
          <w:sz w:val="22"/>
          <w:szCs w:val="22"/>
        </w:rPr>
        <w:t xml:space="preserve">. 464 p. </w:t>
      </w:r>
    </w:p>
    <w:sectPr w:rsidR="00DC21D0" w:rsidRPr="00DC21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D9E"/>
    <w:rsid w:val="00277831"/>
    <w:rsid w:val="00380051"/>
    <w:rsid w:val="00871378"/>
    <w:rsid w:val="00A05FC4"/>
    <w:rsid w:val="00AA239E"/>
    <w:rsid w:val="00BE5D9E"/>
    <w:rsid w:val="00C32A93"/>
    <w:rsid w:val="00DC21D0"/>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3F4B22B1"/>
  <w15:chartTrackingRefBased/>
  <w15:docId w15:val="{3CE20A50-AC40-DE48-A6FF-ECA3EB5C5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D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5D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5D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5D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D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D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D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D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D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D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5D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5D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5D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D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D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D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D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D9E"/>
    <w:rPr>
      <w:rFonts w:eastAsiaTheme="majorEastAsia" w:cstheme="majorBidi"/>
      <w:color w:val="272727" w:themeColor="text1" w:themeTint="D8"/>
    </w:rPr>
  </w:style>
  <w:style w:type="paragraph" w:styleId="Title">
    <w:name w:val="Title"/>
    <w:basedOn w:val="Normal"/>
    <w:next w:val="Normal"/>
    <w:link w:val="TitleChar"/>
    <w:uiPriority w:val="10"/>
    <w:qFormat/>
    <w:rsid w:val="00BE5D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D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D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D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D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E5D9E"/>
    <w:rPr>
      <w:i/>
      <w:iCs/>
      <w:color w:val="404040" w:themeColor="text1" w:themeTint="BF"/>
    </w:rPr>
  </w:style>
  <w:style w:type="paragraph" w:styleId="ListParagraph">
    <w:name w:val="List Paragraph"/>
    <w:basedOn w:val="Normal"/>
    <w:uiPriority w:val="34"/>
    <w:qFormat/>
    <w:rsid w:val="00BE5D9E"/>
    <w:pPr>
      <w:ind w:left="720"/>
      <w:contextualSpacing/>
    </w:pPr>
  </w:style>
  <w:style w:type="character" w:styleId="IntenseEmphasis">
    <w:name w:val="Intense Emphasis"/>
    <w:basedOn w:val="DefaultParagraphFont"/>
    <w:uiPriority w:val="21"/>
    <w:qFormat/>
    <w:rsid w:val="00BE5D9E"/>
    <w:rPr>
      <w:i/>
      <w:iCs/>
      <w:color w:val="0F4761" w:themeColor="accent1" w:themeShade="BF"/>
    </w:rPr>
  </w:style>
  <w:style w:type="paragraph" w:styleId="IntenseQuote">
    <w:name w:val="Intense Quote"/>
    <w:basedOn w:val="Normal"/>
    <w:next w:val="Normal"/>
    <w:link w:val="IntenseQuoteChar"/>
    <w:uiPriority w:val="30"/>
    <w:qFormat/>
    <w:rsid w:val="00BE5D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D9E"/>
    <w:rPr>
      <w:i/>
      <w:iCs/>
      <w:color w:val="0F4761" w:themeColor="accent1" w:themeShade="BF"/>
    </w:rPr>
  </w:style>
  <w:style w:type="character" w:styleId="IntenseReference">
    <w:name w:val="Intense Reference"/>
    <w:basedOn w:val="DefaultParagraphFont"/>
    <w:uiPriority w:val="32"/>
    <w:qFormat/>
    <w:rsid w:val="00BE5D9E"/>
    <w:rPr>
      <w:b/>
      <w:bCs/>
      <w:smallCaps/>
      <w:color w:val="0F4761" w:themeColor="accent1" w:themeShade="BF"/>
      <w:spacing w:val="5"/>
    </w:rPr>
  </w:style>
  <w:style w:type="paragraph" w:styleId="NormalWeb">
    <w:name w:val="Normal (Web)"/>
    <w:basedOn w:val="Normal"/>
    <w:uiPriority w:val="99"/>
    <w:semiHidden/>
    <w:unhideWhenUsed/>
    <w:rsid w:val="00C32A9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517497">
      <w:bodyDiv w:val="1"/>
      <w:marLeft w:val="0"/>
      <w:marRight w:val="0"/>
      <w:marTop w:val="0"/>
      <w:marBottom w:val="0"/>
      <w:divBdr>
        <w:top w:val="none" w:sz="0" w:space="0" w:color="auto"/>
        <w:left w:val="none" w:sz="0" w:space="0" w:color="auto"/>
        <w:bottom w:val="none" w:sz="0" w:space="0" w:color="auto"/>
        <w:right w:val="none" w:sz="0" w:space="0" w:color="auto"/>
      </w:divBdr>
    </w:div>
    <w:div w:id="54934711">
      <w:bodyDiv w:val="1"/>
      <w:marLeft w:val="0"/>
      <w:marRight w:val="0"/>
      <w:marTop w:val="0"/>
      <w:marBottom w:val="0"/>
      <w:divBdr>
        <w:top w:val="none" w:sz="0" w:space="0" w:color="auto"/>
        <w:left w:val="none" w:sz="0" w:space="0" w:color="auto"/>
        <w:bottom w:val="none" w:sz="0" w:space="0" w:color="auto"/>
        <w:right w:val="none" w:sz="0" w:space="0" w:color="auto"/>
      </w:divBdr>
    </w:div>
    <w:div w:id="194078456">
      <w:bodyDiv w:val="1"/>
      <w:marLeft w:val="0"/>
      <w:marRight w:val="0"/>
      <w:marTop w:val="0"/>
      <w:marBottom w:val="0"/>
      <w:divBdr>
        <w:top w:val="none" w:sz="0" w:space="0" w:color="auto"/>
        <w:left w:val="none" w:sz="0" w:space="0" w:color="auto"/>
        <w:bottom w:val="none" w:sz="0" w:space="0" w:color="auto"/>
        <w:right w:val="none" w:sz="0" w:space="0" w:color="auto"/>
      </w:divBdr>
    </w:div>
    <w:div w:id="609625278">
      <w:bodyDiv w:val="1"/>
      <w:marLeft w:val="0"/>
      <w:marRight w:val="0"/>
      <w:marTop w:val="0"/>
      <w:marBottom w:val="0"/>
      <w:divBdr>
        <w:top w:val="none" w:sz="0" w:space="0" w:color="auto"/>
        <w:left w:val="none" w:sz="0" w:space="0" w:color="auto"/>
        <w:bottom w:val="none" w:sz="0" w:space="0" w:color="auto"/>
        <w:right w:val="none" w:sz="0" w:space="0" w:color="auto"/>
      </w:divBdr>
    </w:div>
    <w:div w:id="623120803">
      <w:bodyDiv w:val="1"/>
      <w:marLeft w:val="0"/>
      <w:marRight w:val="0"/>
      <w:marTop w:val="0"/>
      <w:marBottom w:val="0"/>
      <w:divBdr>
        <w:top w:val="none" w:sz="0" w:space="0" w:color="auto"/>
        <w:left w:val="none" w:sz="0" w:space="0" w:color="auto"/>
        <w:bottom w:val="none" w:sz="0" w:space="0" w:color="auto"/>
        <w:right w:val="none" w:sz="0" w:space="0" w:color="auto"/>
      </w:divBdr>
    </w:div>
    <w:div w:id="1133132007">
      <w:bodyDiv w:val="1"/>
      <w:marLeft w:val="0"/>
      <w:marRight w:val="0"/>
      <w:marTop w:val="0"/>
      <w:marBottom w:val="0"/>
      <w:divBdr>
        <w:top w:val="none" w:sz="0" w:space="0" w:color="auto"/>
        <w:left w:val="none" w:sz="0" w:space="0" w:color="auto"/>
        <w:bottom w:val="none" w:sz="0" w:space="0" w:color="auto"/>
        <w:right w:val="none" w:sz="0" w:space="0" w:color="auto"/>
      </w:divBdr>
    </w:div>
    <w:div w:id="1573544853">
      <w:bodyDiv w:val="1"/>
      <w:marLeft w:val="0"/>
      <w:marRight w:val="0"/>
      <w:marTop w:val="0"/>
      <w:marBottom w:val="0"/>
      <w:divBdr>
        <w:top w:val="none" w:sz="0" w:space="0" w:color="auto"/>
        <w:left w:val="none" w:sz="0" w:space="0" w:color="auto"/>
        <w:bottom w:val="none" w:sz="0" w:space="0" w:color="auto"/>
        <w:right w:val="none" w:sz="0" w:space="0" w:color="auto"/>
      </w:divBdr>
    </w:div>
    <w:div w:id="1701709596">
      <w:bodyDiv w:val="1"/>
      <w:marLeft w:val="0"/>
      <w:marRight w:val="0"/>
      <w:marTop w:val="0"/>
      <w:marBottom w:val="0"/>
      <w:divBdr>
        <w:top w:val="none" w:sz="0" w:space="0" w:color="auto"/>
        <w:left w:val="none" w:sz="0" w:space="0" w:color="auto"/>
        <w:bottom w:val="none" w:sz="0" w:space="0" w:color="auto"/>
        <w:right w:val="none" w:sz="0" w:space="0" w:color="auto"/>
      </w:divBdr>
    </w:div>
    <w:div w:id="2015719216">
      <w:bodyDiv w:val="1"/>
      <w:marLeft w:val="0"/>
      <w:marRight w:val="0"/>
      <w:marTop w:val="0"/>
      <w:marBottom w:val="0"/>
      <w:divBdr>
        <w:top w:val="none" w:sz="0" w:space="0" w:color="auto"/>
        <w:left w:val="none" w:sz="0" w:space="0" w:color="auto"/>
        <w:bottom w:val="none" w:sz="0" w:space="0" w:color="auto"/>
        <w:right w:val="none" w:sz="0" w:space="0" w:color="auto"/>
      </w:divBdr>
    </w:div>
    <w:div w:id="2066055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1748</Words>
  <Characters>9970</Characters>
  <Application>Microsoft Office Word</Application>
  <DocSecurity>0</DocSecurity>
  <Lines>83</Lines>
  <Paragraphs>23</Paragraphs>
  <ScaleCrop>false</ScaleCrop>
  <Company/>
  <LinksUpToDate>false</LinksUpToDate>
  <CharactersWithSpaces>11695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4</cp:revision>
  <dcterms:created xsi:type="dcterms:W3CDTF">2026-01-15T11:47:00Z</dcterms:created>
  <dcterms:modified xsi:type="dcterms:W3CDTF">2026-01-15T12:39:00Z</dcterms:modified>
</cp:coreProperties>
</file>