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137A65"/>
          <w:sz w:val="32"/>
        </w:rPr>
        <w:t>INCIDENTA</w:t>
      </w:r>
    </w:p>
    <w:p>
      <w:pPr>
        <w:pStyle w:val="Title"/>
        <w:jc w:val="center"/>
      </w:pPr>
      <w:r>
        <w:t>Memoria t?cnica</w:t>
      </w:r>
    </w:p>
    <w:p>
      <w:pPr>
        <w:jc w:val="center"/>
      </w:pPr>
      <w:r>
        <w:rPr>
          <w:color w:val="5A6464"/>
          <w:sz w:val="26"/>
        </w:rPr>
        <w:t>Arquitectura, seguridad, pruebas, despliegue y evidencias</w:t>
      </w:r>
    </w:p>
    <w:p>
      <w:pPr>
        <w:spacing w:before="480"/>
        <w:jc w:val="center"/>
      </w:pPr>
      <w:r>
        <w:rPr>
          <w:color w:val="137A65"/>
          <w:sz w:val="20"/>
        </w:rPr>
        <w:t>Versi?n de demostraci?n publicada ? 21 de octubre de 2026</w:t>
      </w:r>
    </w:p>
    <w:p>
      <w:r>
        <w:br w:type="page"/>
      </w:r>
    </w:p>
    <w:p>
      <w:pPr>
        <w:pStyle w:val="Heading1"/>
      </w:pPr>
      <w:r>
        <w:t>1. Propósito y alcance</w:t>
      </w:r>
    </w:p>
    <w:p>
      <w:r>
        <w:t>Incidenta es una plataforma web para registrar, consultar, priorizar y seguir incidentes. Esta entrega integra cliente, API y almacenamiento persistente; autenticación, autorización por roles, validación, seguridad HTTP, observabilidad básica, health check, pruebas, CI y configuración de despliegue. La aplicación sirve una SPA tradicional en HTML/CSS/JavaScript modular y una API REST dentro del mismo origen.</w:t>
      </w:r>
    </w:p>
    <w:p>
      <w:r>
        <w:t xml:space="preserve">El código está publicado en JonnathanBergara/Incidenta (https://github.com/JonnathanBergara/Incidenta), rama </w:t>
      </w:r>
      <w:r>
        <w:rPr>
          <w:rFonts w:ascii="Consolas" w:hAnsi="Consolas"/>
          <w:sz w:val="18"/>
        </w:rPr>
        <w:t>main</w:t>
      </w:r>
      <w:r>
        <w:t xml:space="preserve">, y la versión de demostración está desplegada con Render Free y Neon Free. URL pública: &lt;https://plataforma-incidenta.onrender.com&gt;. El 21/10/2026 se verificaron el estado Live en Render, la carga de la interfaz y </w:t>
      </w:r>
      <w:r>
        <w:rPr>
          <w:rFonts w:ascii="Consolas" w:hAnsi="Consolas"/>
          <w:sz w:val="18"/>
        </w:rPr>
        <w:t>GET /healthz</w:t>
      </w:r>
      <w:r>
        <w:t xml:space="preserve"> con HTTP 200 y </w:t>
      </w:r>
      <w:r>
        <w:rPr>
          <w:rFonts w:ascii="Consolas" w:hAnsi="Consolas"/>
          <w:sz w:val="18"/>
        </w:rPr>
        <w:t>{"status":"ok"}</w:t>
      </w:r>
      <w:r>
        <w:t>. Este despliegue acredita conectividad con Neon; las pruebas automatizadas siguen usando PGlite.</w:t>
      </w:r>
    </w:p>
    <w:p>
      <w:pPr>
        <w:pStyle w:val="Heading1"/>
      </w:pPr>
      <w:r>
        <w:t>2. Arquitectura y decisiones</w:t>
      </w:r>
    </w:p>
    <w:p>
      <w:r>
        <w:t xml:space="preserve">La arquitectura separa rutas, controladores, modelos y middleware en servidor. El cliente MVC organiza estado y reglas en </w:t>
      </w:r>
      <w:r>
        <w:rPr>
          <w:rFonts w:ascii="Consolas" w:hAnsi="Consolas"/>
          <w:sz w:val="18"/>
        </w:rPr>
        <w:t>public/js/model/</w:t>
      </w:r>
      <w:r>
        <w:t xml:space="preserve">, interacción DOM en </w:t>
      </w:r>
      <w:r>
        <w:rPr>
          <w:rFonts w:ascii="Consolas" w:hAnsi="Consolas"/>
          <w:sz w:val="18"/>
        </w:rPr>
        <w:t>public/js/view/</w:t>
      </w:r>
      <w:r>
        <w:t xml:space="preserve">, y coordinación de eventos en </w:t>
      </w:r>
      <w:r>
        <w:rPr>
          <w:rFonts w:ascii="Consolas" w:hAnsi="Consolas"/>
          <w:sz w:val="18"/>
        </w:rPr>
        <w:t>public/js/controller/</w:t>
      </w:r>
      <w:r>
        <w:t xml:space="preserve">. El modelo de cliente no accede al DOM. La capa de persistencia está en </w:t>
      </w:r>
      <w:r>
        <w:rPr>
          <w:rFonts w:ascii="Consolas" w:hAnsi="Consolas"/>
          <w:sz w:val="18"/>
        </w:rPr>
        <w:t>src/db/connection.js</w:t>
      </w:r>
      <w:r>
        <w:t xml:space="preserve">, que usa </w:t>
      </w:r>
      <w:r>
        <w:rPr>
          <w:rFonts w:ascii="Consolas" w:hAnsi="Consolas"/>
          <w:sz w:val="18"/>
        </w:rPr>
        <w:t>pg</w:t>
      </w:r>
      <w:r>
        <w:t xml:space="preserve"> en ejecución y PGlite en pruebas. Las consultas se parametrizan y son asíncronas.</w:t>
      </w:r>
    </w:p>
    <w:p>
      <w:r>
        <w:t>Se cambió SQLite por PostgreSQL para atender el requisito de persistencia en un alojamiento sin costo: el disco de una instancia web gratuita suele ser efímero, por lo que una base local podría perderse al reiniciar o desplegar. Neon ofrece un servicio PostgreSQL con cuota gratuita; el cómputo escala a cero y tiene límites. Por ello esta solución evita acoplar datos al disco del web service, pero no promete disponibilidad continua ni un SLA gratuito. La base PostgreSQL nueva se crea mediante migraciones versionadas. No se migra automáticamente ningún archivo SQLite de una instalación anterior.</w:t>
      </w:r>
    </w:p>
    <w:p>
      <w:pPr>
        <w:pStyle w:val="Heading2"/>
      </w:pPr>
      <w:r>
        <w:t>Componentes</w:t>
      </w:r>
    </w:p>
    <w:tbl>
      <w:tblPr>
        <w:tblStyle w:val="TableGrid"/>
        <w:tblW w:type="auto" w:w="0"/>
        <w:jc w:val="center"/>
        <w:tblLook w:firstColumn="1" w:firstRow="1" w:lastColumn="0" w:lastRow="0" w:noHBand="0" w:noVBand="1" w:val="04A0"/>
      </w:tblPr>
      <w:tblGrid>
        <w:gridCol w:w="4968"/>
        <w:gridCol w:w="4968"/>
      </w:tblGrid>
      <w:tr>
        <w:tc>
          <w:tcPr>
            <w:tcW w:type="dxa" w:w="4968"/>
            <w:shd w:fill="163B35"/>
          </w:tcPr>
          <w:p>
            <w:r/>
            <w:r>
              <w:rPr>
                <w:b/>
                <w:color w:val="FFFFFF"/>
                <w:sz w:val="16"/>
              </w:rPr>
              <w:t>Capa</w:t>
            </w:r>
          </w:p>
        </w:tc>
        <w:tc>
          <w:tcPr>
            <w:tcW w:type="dxa" w:w="4968"/>
            <w:shd w:fill="163B35"/>
          </w:tcPr>
          <w:p>
            <w:r/>
            <w:r>
              <w:rPr>
                <w:b/>
                <w:color w:val="FFFFFF"/>
                <w:sz w:val="16"/>
              </w:rPr>
              <w:t>Responsabilidad</w:t>
            </w:r>
          </w:p>
        </w:tc>
      </w:tr>
      <w:tr>
        <w:tc>
          <w:tcPr>
            <w:tcW w:type="dxa" w:w="4968"/>
            <w:vAlign w:val="center"/>
            <w:shd w:fill="F2F6F4"/>
          </w:tcPr>
          <w:p>
            <w:r>
              <w:rPr>
                <w:sz w:val="16"/>
              </w:rPr>
            </w:r>
            <w:r>
              <w:rPr>
                <w:sz w:val="16"/>
              </w:rPr>
              <w:t>Interfaz web</w:t>
            </w:r>
          </w:p>
        </w:tc>
        <w:tc>
          <w:tcPr>
            <w:tcW w:type="dxa" w:w="4968"/>
            <w:vAlign w:val="center"/>
            <w:shd w:fill="F2F6F4"/>
          </w:tcPr>
          <w:p>
            <w:r>
              <w:rPr>
                <w:sz w:val="16"/>
              </w:rPr>
            </w:r>
            <w:r>
              <w:rPr>
                <w:sz w:val="16"/>
              </w:rPr>
              <w:t>Inicio, listado, formularios, detalle, filtros y navegación</w:t>
            </w:r>
          </w:p>
        </w:tc>
      </w:tr>
      <w:tr>
        <w:tc>
          <w:tcPr>
            <w:tcW w:type="dxa" w:w="4968"/>
            <w:vAlign w:val="center"/>
          </w:tcPr>
          <w:p>
            <w:r>
              <w:rPr>
                <w:sz w:val="16"/>
              </w:rPr>
            </w:r>
            <w:r>
              <w:rPr>
                <w:sz w:val="16"/>
              </w:rPr>
              <w:t>API REST</w:t>
            </w:r>
          </w:p>
        </w:tc>
        <w:tc>
          <w:tcPr>
            <w:tcW w:type="dxa" w:w="4968"/>
            <w:vAlign w:val="center"/>
          </w:tcPr>
          <w:p>
            <w:r>
              <w:rPr>
                <w:sz w:val="16"/>
              </w:rPr>
            </w:r>
            <w:r>
              <w:rPr>
                <w:sz w:val="16"/>
              </w:rPr>
              <w:t>Contratos JSON, códigos HTTP, paginación y reglas de negocio</w:t>
            </w:r>
          </w:p>
        </w:tc>
      </w:tr>
      <w:tr>
        <w:tc>
          <w:tcPr>
            <w:tcW w:type="dxa" w:w="4968"/>
            <w:vAlign w:val="center"/>
            <w:shd w:fill="F2F6F4"/>
          </w:tcPr>
          <w:p>
            <w:r>
              <w:rPr>
                <w:sz w:val="16"/>
              </w:rPr>
            </w:r>
            <w:r>
              <w:rPr>
                <w:sz w:val="16"/>
              </w:rPr>
              <w:t>Middleware</w:t>
            </w:r>
          </w:p>
        </w:tc>
        <w:tc>
          <w:tcPr>
            <w:tcW w:type="dxa" w:w="4968"/>
            <w:vAlign w:val="center"/>
            <w:shd w:fill="F2F6F4"/>
          </w:tcPr>
          <w:p>
            <w:r>
              <w:rPr>
                <w:sz w:val="16"/>
              </w:rPr>
            </w:r>
            <w:r>
              <w:rPr>
                <w:sz w:val="16"/>
              </w:rPr>
              <w:t>Validación, JWT, roles, HTTPS, CORS, límite de login, gzip y logs</w:t>
            </w:r>
          </w:p>
        </w:tc>
      </w:tr>
      <w:tr>
        <w:tc>
          <w:tcPr>
            <w:tcW w:type="dxa" w:w="4968"/>
            <w:vAlign w:val="center"/>
          </w:tcPr>
          <w:p>
            <w:r>
              <w:rPr>
                <w:sz w:val="16"/>
              </w:rPr>
            </w:r>
            <w:r>
              <w:rPr>
                <w:sz w:val="16"/>
              </w:rPr>
              <w:t>PostgreSQL</w:t>
            </w:r>
          </w:p>
        </w:tc>
        <w:tc>
          <w:tcPr>
            <w:tcW w:type="dxa" w:w="4968"/>
            <w:vAlign w:val="center"/>
          </w:tcPr>
          <w:p>
            <w:r>
              <w:rPr>
                <w:sz w:val="16"/>
              </w:rPr>
            </w:r>
            <w:r>
              <w:rPr>
                <w:sz w:val="16"/>
              </w:rPr>
              <w:t>Datos persistentes, checks, índices, trigger e historial de migraciones</w:t>
            </w:r>
          </w:p>
        </w:tc>
      </w:tr>
      <w:tr>
        <w:tc>
          <w:tcPr>
            <w:tcW w:type="dxa" w:w="4968"/>
            <w:vAlign w:val="center"/>
            <w:shd w:fill="F2F6F4"/>
          </w:tcPr>
          <w:p>
            <w:r>
              <w:rPr>
                <w:sz w:val="16"/>
              </w:rPr>
            </w:r>
            <w:r>
              <w:rPr>
                <w:sz w:val="16"/>
              </w:rPr>
              <w:t>CI</w:t>
            </w:r>
          </w:p>
        </w:tc>
        <w:tc>
          <w:tcPr>
            <w:tcW w:type="dxa" w:w="4968"/>
            <w:vAlign w:val="center"/>
            <w:shd w:fill="F2F6F4"/>
          </w:tcPr>
          <w:p>
            <w:r>
              <w:rPr>
                <w:sz w:val="16"/>
              </w:rPr>
            </w:r>
            <w:r>
              <w:rPr>
                <w:sz w:val="16"/>
              </w:rPr>
              <w:t>Pruebas Jest/PGlite, integración HTTP y ESLint 9 con Node 22</w:t>
            </w:r>
          </w:p>
        </w:tc>
      </w:tr>
    </w:tbl>
    <w:p>
      <w:pPr>
        <w:spacing w:after="20"/>
      </w:pPr>
    </w:p>
    <w:p>
      <w:pPr>
        <w:pStyle w:val="Heading1"/>
      </w:pPr>
      <w:r>
        <w:t>3. Datos, API y control de acceso</w:t>
      </w:r>
    </w:p>
    <w:p>
      <w:r>
        <w:rPr>
          <w:rFonts w:ascii="Consolas" w:hAnsi="Consolas"/>
          <w:sz w:val="18"/>
        </w:rPr>
        <w:t>incidentes</w:t>
      </w:r>
      <w:r>
        <w:t xml:space="preserve"> conserva título, categoría, prioridad, estado, fecha, correo, descripción y marcas temporales. </w:t>
      </w:r>
      <w:r>
        <w:rPr>
          <w:rFonts w:ascii="Consolas" w:hAnsi="Consolas"/>
          <w:sz w:val="18"/>
        </w:rPr>
        <w:t>usuarios</w:t>
      </w:r>
      <w:r>
        <w:t xml:space="preserve"> almacena nombre de usuario, correo, hash de contraseña, rol, activo y alta. Un índice único case-insensitive impide duplicados por diferencias de mayúsculas. Los checks de base de datos limitan prioridad, estado y rol. Un trigger actualiza </w:t>
      </w:r>
      <w:r>
        <w:rPr>
          <w:rFonts w:ascii="Consolas" w:hAnsi="Consolas"/>
          <w:sz w:val="18"/>
        </w:rPr>
        <w:t>updated_at</w:t>
      </w:r>
      <w:r>
        <w:t>.</w:t>
      </w:r>
    </w:p>
    <w:p>
      <w:r>
        <w:rPr>
          <w:rFonts w:ascii="Consolas" w:hAnsi="Consolas"/>
          <w:sz w:val="18"/>
        </w:rPr>
        <w:t>GET /api/incidentes</w:t>
      </w:r>
      <w:r>
        <w:t xml:space="preserve"> filtra por estado, prioridad y texto; pagina por defecto 50 y permite hasta 100 filas por petición. La respuesta tiene </w:t>
      </w:r>
      <w:r>
        <w:rPr>
          <w:rFonts w:ascii="Consolas" w:hAnsi="Consolas"/>
          <w:sz w:val="18"/>
        </w:rPr>
        <w:t>data</w:t>
      </w:r>
      <w:r>
        <w:t xml:space="preserve">, </w:t>
      </w:r>
      <w:r>
        <w:rPr>
          <w:rFonts w:ascii="Consolas" w:hAnsi="Consolas"/>
          <w:sz w:val="18"/>
        </w:rPr>
        <w:t>pagination</w:t>
      </w:r>
      <w:r>
        <w:t xml:space="preserve"> y </w:t>
      </w:r>
      <w:r>
        <w:rPr>
          <w:rFonts w:ascii="Consolas" w:hAnsi="Consolas"/>
          <w:sz w:val="18"/>
        </w:rPr>
        <w:t>estadisticas</w:t>
      </w:r>
      <w:r>
        <w:t>. El total respeta los filtros, las estadísticas son globales. El CRUD usa códigos HTTP convencionales y conserva validación antes de escribir.</w:t>
      </w:r>
    </w:p>
    <w:p>
      <w:r>
        <w:t>El login emite JWT con vigencia configurada. Las contraseñas se hashean con scrypt salado. Cada solicitud protegida consulta de nuevo la cuenta para comprobar si fue desactivada y usar el rol vigente en base, evitando confiar solo en el token. Lector consulta; analista consulta/crea/actualiza; admin también elimina y puede crear usuarios. Las entradas se validan y limpian antes de persistir; hay límites de tamaño de cuerpo y de intentos de login.</w:t>
      </w:r>
    </w:p>
    <w:p>
      <w:pPr>
        <w:pStyle w:val="Heading1"/>
      </w:pPr>
      <w:r>
        <w:t>4. HTTPS, configuración y logs</w:t>
      </w:r>
    </w:p>
    <w:p>
      <w:r>
        <w:t xml:space="preserve">En Render, TLS termina en el proxy gestionado por el proveedor. La aplicación usa </w:t>
      </w:r>
      <w:r>
        <w:rPr>
          <w:rFonts w:ascii="Consolas" w:hAnsi="Consolas"/>
          <w:sz w:val="18"/>
        </w:rPr>
        <w:t>TRUST_PROXY=1</w:t>
      </w:r>
      <w:r>
        <w:t xml:space="preserve"> para reconocer </w:t>
      </w:r>
      <w:r>
        <w:rPr>
          <w:rFonts w:ascii="Consolas" w:hAnsi="Consolas"/>
          <w:sz w:val="18"/>
        </w:rPr>
        <w:t>X-Forwarded-Proto</w:t>
      </w:r>
      <w:r>
        <w:t>, exige HTTPS y emite HSTS cuando la conexión se reconoce segura. El navegador recibe HTML y API por el mismo origen; la lista CORS queda cerrada si no se define una integración cross-origin.</w:t>
      </w:r>
    </w:p>
    <w:p>
      <w:r>
        <w:rPr>
          <w:rFonts w:ascii="Consolas" w:hAnsi="Consolas"/>
          <w:sz w:val="18"/>
        </w:rPr>
        <w:t>DATABASE_URL</w:t>
      </w:r>
      <w:r>
        <w:t xml:space="preserve">, </w:t>
      </w:r>
      <w:r>
        <w:rPr>
          <w:rFonts w:ascii="Consolas" w:hAnsi="Consolas"/>
          <w:sz w:val="18"/>
        </w:rPr>
        <w:t>JWT_SECRET</w:t>
      </w:r>
      <w:r>
        <w:t xml:space="preserve"> y contraseñas iniciales se configuran como variables secretas en el panel, nunca en el repositorio. En producción se valida que la URL exista y que secretos iniciales tengan al menos 12 caracteres, letras y números. Las migraciones y datos de ejemplo se preparan antes de aceptar peticiones. Cambiar el secreto inicial después de crear cuentas no rota las claves existentes.</w:t>
      </w:r>
    </w:p>
    <w:p>
      <w:r>
        <w:t xml:space="preserve">Los logs registran método, URL, estado, duración y usuario autenticado. Los errores internos se redactan al cliente, mientras se registran en el servidor. </w:t>
      </w:r>
      <w:r>
        <w:rPr>
          <w:rFonts w:ascii="Consolas" w:hAnsi="Consolas"/>
          <w:sz w:val="18"/>
        </w:rPr>
        <w:t>GET /healthz</w:t>
      </w:r>
      <w:r>
        <w:t xml:space="preserve"> hace </w:t>
      </w:r>
      <w:r>
        <w:rPr>
          <w:rFonts w:ascii="Consolas" w:hAnsi="Consolas"/>
          <w:sz w:val="18"/>
        </w:rPr>
        <w:t>SELECT 1</w:t>
      </w:r>
      <w:r>
        <w:t xml:space="preserve"> y responde </w:t>
      </w:r>
      <w:r>
        <w:rPr>
          <w:rFonts w:ascii="Consolas" w:hAnsi="Consolas"/>
          <w:sz w:val="18"/>
        </w:rPr>
        <w:t>{"status":"ok"}</w:t>
      </w:r>
      <w:r>
        <w:t xml:space="preserve"> al estar lista la base de datos; se configura como health check del servicio.</w:t>
      </w:r>
    </w:p>
    <w:p>
      <w:pPr>
        <w:pStyle w:val="Heading1"/>
      </w:pPr>
      <w:r>
        <w:t>5. Pruebas y evidencias</w:t>
      </w:r>
    </w:p>
    <w:p>
      <w:r>
        <w:t xml:space="preserve">La suite de reglas y modelo se ejecuta con Jest; PGlite brinda un motor PostgreSQL local embebido para las pruebas sin depender de una cuenta cloud. La integración usa Express real con </w:t>
      </w:r>
      <w:r>
        <w:rPr>
          <w:rFonts w:ascii="Consolas" w:hAnsi="Consolas"/>
          <w:sz w:val="18"/>
        </w:rPr>
        <w:t>node:test</w:t>
      </w:r>
      <w:r>
        <w:t xml:space="preserve">. Se comprueban CRUD, filtros, paginación, restricciones, autenticación, roles, validaciones, cabeceras, CORS, errores, límites y health check. GitHub Actions ejecuta </w:t>
      </w:r>
      <w:r>
        <w:rPr>
          <w:rFonts w:ascii="Consolas" w:hAnsi="Consolas"/>
          <w:sz w:val="18"/>
        </w:rPr>
        <w:t>npm ci</w:t>
      </w:r>
      <w:r>
        <w:t xml:space="preserve">, </w:t>
      </w:r>
      <w:r>
        <w:rPr>
          <w:rFonts w:ascii="Consolas" w:hAnsi="Consolas"/>
          <w:sz w:val="18"/>
        </w:rPr>
        <w:t>npm test</w:t>
      </w:r>
      <w:r>
        <w:t xml:space="preserve"> y </w:t>
      </w:r>
      <w:r>
        <w:rPr>
          <w:rFonts w:ascii="Consolas" w:hAnsi="Consolas"/>
          <w:sz w:val="18"/>
        </w:rPr>
        <w:t>npm run lint</w:t>
      </w:r>
      <w:r>
        <w:t xml:space="preserve"> al hacer push a </w:t>
      </w:r>
      <w:r>
        <w:rPr>
          <w:rFonts w:ascii="Consolas" w:hAnsi="Consolas"/>
          <w:sz w:val="18"/>
        </w:rPr>
        <w:t>main</w:t>
      </w:r>
      <w:r>
        <w:t xml:space="preserve"> o abrir una PR.</w:t>
      </w:r>
    </w:p>
    <w:p>
      <w:r>
        <w:t xml:space="preserve">En la última ejecución local se aprobaron 74 pruebas Jest y 29 de integración; ESLint 9 reportó cero errores y advertencias en 47 archivos. GitHub Actions también completó con éxito el flujo de CI del commit </w:t>
      </w:r>
      <w:r>
        <w:rPr>
          <w:rFonts w:ascii="Consolas" w:hAnsi="Consolas"/>
          <w:sz w:val="18"/>
        </w:rPr>
        <w:t>613e2ca</w:t>
      </w:r>
      <w:r>
        <w:t xml:space="preserve">, ejecutado en Node 22 y con zona horaria </w:t>
      </w:r>
      <w:r>
        <w:rPr>
          <w:rFonts w:ascii="Consolas" w:hAnsi="Consolas"/>
          <w:sz w:val="18"/>
        </w:rPr>
        <w:t>America/Guayaquil</w:t>
      </w:r>
      <w:r>
        <w:t xml:space="preserve">. El recorrido real de navegador generó 13 capturas para lector, analista y admin. El proyecto se validó localmente con Node v24.22.0; el flujo de CI se ejecutó en GitHub con Node 22 y terminó exitosamente en el commit desplegado. </w:t>
      </w:r>
      <w:r>
        <w:rPr>
          <w:rFonts w:ascii="Consolas" w:hAnsi="Consolas"/>
          <w:sz w:val="18"/>
        </w:rPr>
        <w:t>npm audit --omit=dev</w:t>
      </w:r>
      <w:r>
        <w:t xml:space="preserve"> no encontró vulnerabilidades en dependencias de producción; el árbol completo conserva 19 alertas moderadas en herramientas de desarrollo y pruebas.</w:t>
      </w:r>
    </w:p>
    <w:p>
      <w:r>
        <w:t xml:space="preserve">La validación de despliegue se acotó deliberadamente a las comprobaciones realizadas: Render informó el servicio Live, los logs confirmaron el resultado de migraciones y seed, </w:t>
      </w:r>
      <w:r>
        <w:rPr>
          <w:rFonts w:ascii="Consolas" w:hAnsi="Consolas"/>
          <w:sz w:val="18"/>
        </w:rPr>
        <w:t>/healthz</w:t>
      </w:r>
      <w:r>
        <w:t xml:space="preserve"> contestó HTTP 200 y la página pública sirvió la aplicación. No se utilizó una contraseña para iniciar sesión remotamente, ni se creó/actualizó/eliminó un incidente de producción. La suite de integración sí ejecuta CRUD y permisos contra un servidor Express real con PGlite, pero eso no representa una transacción en la base de Neon.</w:t>
      </w:r>
    </w:p>
    <w:p>
      <w:r>
        <w:t xml:space="preserve">Durante la puesta en marcha se corrigieron dos fallos observados, sin exponer los secretos: la contraseña inicial de admin no cumplía el mínimo de 12 caracteres con letras y números, y GitHub Actions ejecutaba las pruebas en UTC mientras la expectativa de fecha era la zona de Ecuador. Se ajustó la configuración de la contraseña en el proveedor y se fijó </w:t>
      </w:r>
      <w:r>
        <w:rPr>
          <w:rFonts w:ascii="Consolas" w:hAnsi="Consolas"/>
          <w:sz w:val="18"/>
        </w:rPr>
        <w:t>TZ=America/Guayaquil</w:t>
      </w:r>
      <w:r>
        <w:t xml:space="preserve"> en CI; el despliegue posterior quedó Live y la ejecución de CI del commit </w:t>
      </w:r>
      <w:r>
        <w:rPr>
          <w:rFonts w:ascii="Consolas" w:hAnsi="Consolas"/>
          <w:sz w:val="18"/>
        </w:rPr>
        <w:t>613e2ca</w:t>
      </w:r>
      <w:r>
        <w:t xml:space="preserve"> aprobó. Los intentos fallidos previos no son el estado actual del servicio.</w:t>
      </w:r>
    </w:p>
    <w:p>
      <w:r>
        <w:t xml:space="preserve">La medición SQL actual ejecuta PGlite con 20 000 filas: listado completo, mediana 284.2 ms; filtro de estado, 95.9 ms; búsqueda, 30.1 ms. La imagen WebP de referencia mide 27 968 bytes. La carga fría transfirió 22 302 bytes y tardó 164.2 ms hasta </w:t>
      </w:r>
      <w:r>
        <w:rPr>
          <w:rFonts w:ascii="Consolas" w:hAnsi="Consolas"/>
          <w:sz w:val="18"/>
        </w:rPr>
        <w:t>loadEventEnd</w:t>
      </w:r>
      <w:r>
        <w:t xml:space="preserve">; la llamada API medida transfirió 2 348 bytes comprimidos. Los datos y planes están en </w:t>
      </w:r>
      <w:r>
        <w:rPr>
          <w:rFonts w:ascii="Consolas" w:hAnsi="Consolas"/>
          <w:sz w:val="18"/>
        </w:rPr>
        <w:t>evidencias/mediciones/despues-postgres.json</w:t>
      </w:r>
      <w:r>
        <w:t>. Los tiempos SQL incluyen el motor embebido PGlite y transferencia de filas en este entorno, no son un benchmark de Neon; tampoco son directamente comparables con los resultados históricos SQLite incluidos en el informe anterior.</w:t>
      </w:r>
    </w:p>
    <w:p>
      <w:r>
        <w:t>El recorrido Chromium generó capturas de los tres roles. A continuación se presenta evidencia visual de producción, integración, API, código y DevTools. Las figuras identifican el entorno de origen; las pruebas de navegador automatizadas locales no se presentan como transacciones contra Neon.</w:t>
      </w:r>
    </w:p>
    <w:p>
      <w:pPr>
        <w:pStyle w:val="Heading2"/>
      </w:pPr>
      <w:r>
        <w:t>Evidencia de la aplicación y API en producción</w:t>
      </w:r>
    </w:p>
    <w:p>
      <w:pPr>
        <w:keepNext/>
        <w:jc w:val="center"/>
      </w:pPr>
      <w:r>
        <w:drawing>
          <wp:inline xmlns:a="http://schemas.openxmlformats.org/drawingml/2006/main" xmlns:pic="http://schemas.openxmlformats.org/drawingml/2006/picture">
            <wp:extent cx="5394960" cy="7601743"/>
            <wp:docPr id="1" name="Picture 1"/>
            <wp:cNvGraphicFramePr>
              <a:graphicFrameLocks noChangeAspect="1"/>
            </wp:cNvGraphicFramePr>
            <a:graphic>
              <a:graphicData uri="http://schemas.openxmlformats.org/drawingml/2006/picture">
                <pic:pic>
                  <pic:nvPicPr>
                    <pic:cNvPr id="0" name="produccion-login.png"/>
                    <pic:cNvPicPr/>
                  </pic:nvPicPr>
                  <pic:blipFill>
                    <a:blip r:embed="rId11"/>
                    <a:stretch>
                      <a:fillRect/>
                    </a:stretch>
                  </pic:blipFill>
                  <pic:spPr>
                    <a:xfrm>
                      <a:off x="0" y="0"/>
                      <a:ext cx="5394960" cy="7601743"/>
                    </a:xfrm>
                    <a:prstGeom prst="rect"/>
                  </pic:spPr>
                </pic:pic>
              </a:graphicData>
            </a:graphic>
          </wp:inline>
        </w:drawing>
      </w:r>
    </w:p>
    <w:p>
      <w:r>
        <w:rPr>
          <w:i/>
        </w:rPr>
        <w:t>Figura 1. Interfaz HTTPS pública de Incidenta. La pantalla solicita iniciar sesión; no representa un usuario autenticado.</w:t>
      </w:r>
    </w:p>
    <w:p>
      <w:pPr>
        <w:keepNext/>
        <w:jc w:val="center"/>
      </w:pPr>
      <w:r>
        <w:drawing>
          <wp:inline xmlns:a="http://schemas.openxmlformats.org/drawingml/2006/main" xmlns:pic="http://schemas.openxmlformats.org/drawingml/2006/picture">
            <wp:extent cx="5394960" cy="6408887"/>
            <wp:docPr id="2" name="Picture 2"/>
            <wp:cNvGraphicFramePr>
              <a:graphicFrameLocks noChangeAspect="1"/>
            </wp:cNvGraphicFramePr>
            <a:graphic>
              <a:graphicData uri="http://schemas.openxmlformats.org/drawingml/2006/picture">
                <pic:pic>
                  <pic:nvPicPr>
                    <pic:cNvPr id="0" name="produccion-render-live.png"/>
                    <pic:cNvPicPr/>
                  </pic:nvPicPr>
                  <pic:blipFill>
                    <a:blip r:embed="rId12"/>
                    <a:stretch>
                      <a:fillRect/>
                    </a:stretch>
                  </pic:blipFill>
                  <pic:spPr>
                    <a:xfrm>
                      <a:off x="0" y="0"/>
                      <a:ext cx="5394960" cy="6408887"/>
                    </a:xfrm>
                    <a:prstGeom prst="rect"/>
                  </pic:spPr>
                </pic:pic>
              </a:graphicData>
            </a:graphic>
          </wp:inline>
        </w:drawing>
      </w:r>
    </w:p>
    <w:p>
      <w:r>
        <w:rPr>
          <w:i/>
        </w:rPr>
        <w:t>Figura 2. Captura del panel real de Render: despliegue Live y logs de migraciones y usuarios iniciales. No se muestran variables secretas.</w:t>
      </w:r>
    </w:p>
    <w:p>
      <w:pPr>
        <w:keepNext/>
        <w:jc w:val="center"/>
      </w:pPr>
      <w:r>
        <w:drawing>
          <wp:inline xmlns:a="http://schemas.openxmlformats.org/drawingml/2006/main" xmlns:pic="http://schemas.openxmlformats.org/drawingml/2006/picture">
            <wp:extent cx="5394960" cy="3493370"/>
            <wp:docPr id="3" name="Picture 3"/>
            <wp:cNvGraphicFramePr>
              <a:graphicFrameLocks noChangeAspect="1"/>
            </wp:cNvGraphicFramePr>
            <a:graphic>
              <a:graphicData uri="http://schemas.openxmlformats.org/drawingml/2006/picture">
                <pic:pic>
                  <pic:nvPicPr>
                    <pic:cNvPr id="0" name="produccion-api-healthz.png"/>
                    <pic:cNvPicPr/>
                  </pic:nvPicPr>
                  <pic:blipFill>
                    <a:blip r:embed="rId13"/>
                    <a:stretch>
                      <a:fillRect/>
                    </a:stretch>
                  </pic:blipFill>
                  <pic:spPr>
                    <a:xfrm>
                      <a:off x="0" y="0"/>
                      <a:ext cx="5394960" cy="3493370"/>
                    </a:xfrm>
                    <a:prstGeom prst="rect"/>
                  </pic:spPr>
                </pic:pic>
              </a:graphicData>
            </a:graphic>
          </wp:inline>
        </w:drawing>
      </w:r>
    </w:p>
    <w:p>
      <w:r>
        <w:rPr>
          <w:i/>
        </w:rPr>
        <w:t>Figura 3. Endpoint real `GET /healthz`: respuesta `{"status":"ok"}` desde producción.</w:t>
      </w:r>
    </w:p>
    <w:p>
      <w:pPr>
        <w:keepNext/>
        <w:jc w:val="center"/>
      </w:pPr>
      <w:r>
        <w:drawing>
          <wp:inline xmlns:a="http://schemas.openxmlformats.org/drawingml/2006/main" xmlns:pic="http://schemas.openxmlformats.org/drawingml/2006/picture">
            <wp:extent cx="5394960" cy="3493370"/>
            <wp:docPr id="4" name="Picture 4"/>
            <wp:cNvGraphicFramePr>
              <a:graphicFrameLocks noChangeAspect="1"/>
            </wp:cNvGraphicFramePr>
            <a:graphic>
              <a:graphicData uri="http://schemas.openxmlformats.org/drawingml/2006/picture">
                <pic:pic>
                  <pic:nvPicPr>
                    <pic:cNvPr id="0" name="produccion-api-401.png"/>
                    <pic:cNvPicPr/>
                  </pic:nvPicPr>
                  <pic:blipFill>
                    <a:blip r:embed="rId14"/>
                    <a:stretch>
                      <a:fillRect/>
                    </a:stretch>
                  </pic:blipFill>
                  <pic:spPr>
                    <a:xfrm>
                      <a:off x="0" y="0"/>
                      <a:ext cx="5394960" cy="3493370"/>
                    </a:xfrm>
                    <a:prstGeom prst="rect"/>
                  </pic:spPr>
                </pic:pic>
              </a:graphicData>
            </a:graphic>
          </wp:inline>
        </w:drawing>
      </w:r>
    </w:p>
    <w:p>
      <w:r>
        <w:rPr>
          <w:i/>
        </w:rPr>
        <w:t>Figura 4. Endpoint real `GET /api/incidentes` sin token: responde 401 y no expone el listado. Es evidencia de autenticación en la API publicada.</w:t>
      </w:r>
    </w:p>
    <w:p>
      <w:pPr>
        <w:pStyle w:val="Heading2"/>
      </w:pPr>
      <w:r>
        <w:t>Evidencia de roles y operaciones CRUD en integración</w:t>
      </w:r>
    </w:p>
    <w:p>
      <w:pPr>
        <w:keepNext/>
        <w:jc w:val="center"/>
      </w:pPr>
      <w:r>
        <w:drawing>
          <wp:inline xmlns:a="http://schemas.openxmlformats.org/drawingml/2006/main" xmlns:pic="http://schemas.openxmlformats.org/drawingml/2006/picture">
            <wp:extent cx="5394960" cy="3793331"/>
            <wp:docPr id="5" name="Picture 5"/>
            <wp:cNvGraphicFramePr>
              <a:graphicFrameLocks noChangeAspect="1"/>
            </wp:cNvGraphicFramePr>
            <a:graphic>
              <a:graphicData uri="http://schemas.openxmlformats.org/drawingml/2006/picture">
                <pic:pic>
                  <pic:nvPicPr>
                    <pic:cNvPr id="0" name="03-lector-listado-solo-lectura.png"/>
                    <pic:cNvPicPr/>
                  </pic:nvPicPr>
                  <pic:blipFill>
                    <a:blip r:embed="rId15"/>
                    <a:stretch>
                      <a:fillRect/>
                    </a:stretch>
                  </pic:blipFill>
                  <pic:spPr>
                    <a:xfrm>
                      <a:off x="0" y="0"/>
                      <a:ext cx="5394960" cy="3793331"/>
                    </a:xfrm>
                    <a:prstGeom prst="rect"/>
                  </pic:spPr>
                </pic:pic>
              </a:graphicData>
            </a:graphic>
          </wp:inline>
        </w:drawing>
      </w:r>
    </w:p>
    <w:p>
      <w:r>
        <w:rPr>
          <w:i/>
        </w:rPr>
        <w:t>Figura 5. Recorrido automatizado local: el rol lector consulta el listado y no tiene formulario de escritura.</w:t>
      </w:r>
    </w:p>
    <w:p>
      <w:pPr>
        <w:keepNext/>
        <w:jc w:val="center"/>
      </w:pPr>
      <w:r>
        <w:drawing>
          <wp:inline xmlns:a="http://schemas.openxmlformats.org/drawingml/2006/main" xmlns:pic="http://schemas.openxmlformats.org/drawingml/2006/picture">
            <wp:extent cx="5394960" cy="3793331"/>
            <wp:docPr id="6" name="Picture 6"/>
            <wp:cNvGraphicFramePr>
              <a:graphicFrameLocks noChangeAspect="1"/>
            </wp:cNvGraphicFramePr>
            <a:graphic>
              <a:graphicData uri="http://schemas.openxmlformats.org/drawingml/2006/picture">
                <pic:pic>
                  <pic:nvPicPr>
                    <pic:cNvPr id="0" name="06-analista-crear-ok-201.png"/>
                    <pic:cNvPicPr/>
                  </pic:nvPicPr>
                  <pic:blipFill>
                    <a:blip r:embed="rId16"/>
                    <a:stretch>
                      <a:fillRect/>
                    </a:stretch>
                  </pic:blipFill>
                  <pic:spPr>
                    <a:xfrm>
                      <a:off x="0" y="0"/>
                      <a:ext cx="5394960" cy="3793331"/>
                    </a:xfrm>
                    <a:prstGeom prst="rect"/>
                  </pic:spPr>
                </pic:pic>
              </a:graphicData>
            </a:graphic>
          </wp:inline>
        </w:drawing>
      </w:r>
    </w:p>
    <w:p>
      <w:r>
        <w:rPr>
          <w:i/>
        </w:rPr>
        <w:t>Figura 6. Recorrido automatizado local: analista crea un incidente y recibe confirmación HTTP 201.</w:t>
      </w:r>
    </w:p>
    <w:p>
      <w:pPr>
        <w:keepNext/>
        <w:jc w:val="center"/>
      </w:pPr>
      <w:r>
        <w:drawing>
          <wp:inline xmlns:a="http://schemas.openxmlformats.org/drawingml/2006/main" xmlns:pic="http://schemas.openxmlformats.org/drawingml/2006/picture">
            <wp:extent cx="5394960" cy="3793331"/>
            <wp:docPr id="7" name="Picture 7"/>
            <wp:cNvGraphicFramePr>
              <a:graphicFrameLocks noChangeAspect="1"/>
            </wp:cNvGraphicFramePr>
            <a:graphic>
              <a:graphicData uri="http://schemas.openxmlformats.org/drawingml/2006/picture">
                <pic:pic>
                  <pic:nvPicPr>
                    <pic:cNvPr id="0" name="07-analista-validacion-servidor-400.png"/>
                    <pic:cNvPicPr/>
                  </pic:nvPicPr>
                  <pic:blipFill>
                    <a:blip r:embed="rId17"/>
                    <a:stretch>
                      <a:fillRect/>
                    </a:stretch>
                  </pic:blipFill>
                  <pic:spPr>
                    <a:xfrm>
                      <a:off x="0" y="0"/>
                      <a:ext cx="5394960" cy="3793331"/>
                    </a:xfrm>
                    <a:prstGeom prst="rect"/>
                  </pic:spPr>
                </pic:pic>
              </a:graphicData>
            </a:graphic>
          </wp:inline>
        </w:drawing>
      </w:r>
    </w:p>
    <w:p>
      <w:r>
        <w:rPr>
          <w:i/>
        </w:rPr>
        <w:t>Figura 7. Recorrido automatizado local: entrada inválida rechazada con HTTP 400 y detalle de validación.</w:t>
      </w:r>
    </w:p>
    <w:p>
      <w:pPr>
        <w:keepNext/>
        <w:jc w:val="center"/>
      </w:pPr>
      <w:r>
        <w:drawing>
          <wp:inline xmlns:a="http://schemas.openxmlformats.org/drawingml/2006/main" xmlns:pic="http://schemas.openxmlformats.org/drawingml/2006/picture">
            <wp:extent cx="5394960" cy="3793331"/>
            <wp:docPr id="8" name="Picture 8"/>
            <wp:cNvGraphicFramePr>
              <a:graphicFrameLocks noChangeAspect="1"/>
            </wp:cNvGraphicFramePr>
            <a:graphic>
              <a:graphicData uri="http://schemas.openxmlformats.org/drawingml/2006/picture">
                <pic:pic>
                  <pic:nvPicPr>
                    <pic:cNvPr id="0" name="10-mensaje-403-sin-permisos.png"/>
                    <pic:cNvPicPr/>
                  </pic:nvPicPr>
                  <pic:blipFill>
                    <a:blip r:embed="rId18"/>
                    <a:stretch>
                      <a:fillRect/>
                    </a:stretch>
                  </pic:blipFill>
                  <pic:spPr>
                    <a:xfrm>
                      <a:off x="0" y="0"/>
                      <a:ext cx="5394960" cy="3793331"/>
                    </a:xfrm>
                    <a:prstGeom prst="rect"/>
                  </pic:spPr>
                </pic:pic>
              </a:graphicData>
            </a:graphic>
          </wp:inline>
        </w:drawing>
      </w:r>
    </w:p>
    <w:p>
      <w:r>
        <w:rPr>
          <w:i/>
        </w:rPr>
        <w:t>Figura 8. Recorrido automatizado local: una acción no permitida se rechaza con HTTP 403.</w:t>
      </w:r>
    </w:p>
    <w:p>
      <w:pPr>
        <w:keepNext/>
        <w:jc w:val="center"/>
      </w:pPr>
      <w:r>
        <w:drawing>
          <wp:inline xmlns:a="http://schemas.openxmlformats.org/drawingml/2006/main" xmlns:pic="http://schemas.openxmlformats.org/drawingml/2006/picture">
            <wp:extent cx="5394960" cy="3793331"/>
            <wp:docPr id="9" name="Picture 9"/>
            <wp:cNvGraphicFramePr>
              <a:graphicFrameLocks noChangeAspect="1"/>
            </wp:cNvGraphicFramePr>
            <a:graphic>
              <a:graphicData uri="http://schemas.openxmlformats.org/drawingml/2006/picture">
                <pic:pic>
                  <pic:nvPicPr>
                    <pic:cNvPr id="0" name="13-admin-eliminar-ok-204.png"/>
                    <pic:cNvPicPr/>
                  </pic:nvPicPr>
                  <pic:blipFill>
                    <a:blip r:embed="rId19"/>
                    <a:stretch>
                      <a:fillRect/>
                    </a:stretch>
                  </pic:blipFill>
                  <pic:spPr>
                    <a:xfrm>
                      <a:off x="0" y="0"/>
                      <a:ext cx="5394960" cy="3793331"/>
                    </a:xfrm>
                    <a:prstGeom prst="rect"/>
                  </pic:spPr>
                </pic:pic>
              </a:graphicData>
            </a:graphic>
          </wp:inline>
        </w:drawing>
      </w:r>
    </w:p>
    <w:p>
      <w:r>
        <w:rPr>
          <w:i/>
        </w:rPr>
        <w:t>Figura 9. Recorrido automatizado local: eliminación autorizada para admin, con respuesta HTTP 204.</w:t>
      </w:r>
    </w:p>
    <w:p>
      <w:pPr>
        <w:pStyle w:val="Heading2"/>
      </w:pPr>
      <w:r>
        <w:t>Evidencia de implementación y calidad</w:t>
      </w:r>
    </w:p>
    <w:p>
      <w:pPr>
        <w:keepNext/>
        <w:jc w:val="center"/>
      </w:pPr>
      <w:r>
        <w:drawing>
          <wp:inline xmlns:a="http://schemas.openxmlformats.org/drawingml/2006/main" xmlns:pic="http://schemas.openxmlformats.org/drawingml/2006/picture">
            <wp:extent cx="5394960" cy="2060875"/>
            <wp:docPr id="10" name="Picture 10"/>
            <wp:cNvGraphicFramePr>
              <a:graphicFrameLocks noChangeAspect="1"/>
            </wp:cNvGraphicFramePr>
            <a:graphic>
              <a:graphicData uri="http://schemas.openxmlformats.org/drawingml/2006/picture">
                <pic:pic>
                  <pic:nvPicPr>
                    <pic:cNvPr id="0" name="codigo-01-roles-rutas.png"/>
                    <pic:cNvPicPr/>
                  </pic:nvPicPr>
                  <pic:blipFill>
                    <a:blip r:embed="rId20"/>
                    <a:stretch>
                      <a:fillRect/>
                    </a:stretch>
                  </pic:blipFill>
                  <pic:spPr>
                    <a:xfrm>
                      <a:off x="0" y="0"/>
                      <a:ext cx="5394960" cy="2060875"/>
                    </a:xfrm>
                    <a:prstGeom prst="rect"/>
                  </pic:spPr>
                </pic:pic>
              </a:graphicData>
            </a:graphic>
          </wp:inline>
        </w:drawing>
      </w:r>
    </w:p>
    <w:p>
      <w:r>
        <w:rPr>
          <w:i/>
        </w:rPr>
        <w:t>Figura 10. Captura de código de `src/routes/definiciones.js`: autorización por rol y validadores aplicados antes de los controladores.</w:t>
      </w:r>
    </w:p>
    <w:p>
      <w:pPr>
        <w:keepNext/>
        <w:jc w:val="center"/>
      </w:pPr>
      <w:r>
        <w:drawing>
          <wp:inline xmlns:a="http://schemas.openxmlformats.org/drawingml/2006/main" xmlns:pic="http://schemas.openxmlformats.org/drawingml/2006/picture">
            <wp:extent cx="5394960" cy="2960035"/>
            <wp:docPr id="11" name="Picture 11"/>
            <wp:cNvGraphicFramePr>
              <a:graphicFrameLocks noChangeAspect="1"/>
            </wp:cNvGraphicFramePr>
            <a:graphic>
              <a:graphicData uri="http://schemas.openxmlformats.org/drawingml/2006/picture">
                <pic:pic>
                  <pic:nvPicPr>
                    <pic:cNvPr id="0" name="codigo-04-hash-scrypt.png"/>
                    <pic:cNvPicPr/>
                  </pic:nvPicPr>
                  <pic:blipFill>
                    <a:blip r:embed="rId21"/>
                    <a:stretch>
                      <a:fillRect/>
                    </a:stretch>
                  </pic:blipFill>
                  <pic:spPr>
                    <a:xfrm>
                      <a:off x="0" y="0"/>
                      <a:ext cx="5394960" cy="2960035"/>
                    </a:xfrm>
                    <a:prstGeom prst="rect"/>
                  </pic:spPr>
                </pic:pic>
              </a:graphicData>
            </a:graphic>
          </wp:inline>
        </w:drawing>
      </w:r>
    </w:p>
    <w:p>
      <w:r>
        <w:rPr>
          <w:i/>
        </w:rPr>
        <w:t>Figura 11. Captura de código de seguridad: hash scrypt para almacenar contraseñas, no texto claro.</w:t>
      </w:r>
    </w:p>
    <w:p>
      <w:pPr>
        <w:keepNext/>
        <w:jc w:val="center"/>
      </w:pPr>
      <w:r>
        <w:drawing>
          <wp:inline xmlns:a="http://schemas.openxmlformats.org/drawingml/2006/main" xmlns:pic="http://schemas.openxmlformats.org/drawingml/2006/picture">
            <wp:extent cx="5394960" cy="14019703"/>
            <wp:docPr id="12" name="Picture 12"/>
            <wp:cNvGraphicFramePr>
              <a:graphicFrameLocks noChangeAspect="1"/>
            </wp:cNvGraphicFramePr>
            <a:graphic>
              <a:graphicData uri="http://schemas.openxmlformats.org/drawingml/2006/picture">
                <pic:pic>
                  <pic:nvPicPr>
                    <pic:cNvPr id="0" name="captura-01-suite-pruebas.png"/>
                    <pic:cNvPicPr/>
                  </pic:nvPicPr>
                  <pic:blipFill>
                    <a:blip r:embed="rId22"/>
                    <a:stretch>
                      <a:fillRect/>
                    </a:stretch>
                  </pic:blipFill>
                  <pic:spPr>
                    <a:xfrm>
                      <a:off x="0" y="0"/>
                      <a:ext cx="5394960" cy="14019703"/>
                    </a:xfrm>
                    <a:prstGeom prst="rect"/>
                  </pic:spPr>
                </pic:pic>
              </a:graphicData>
            </a:graphic>
          </wp:inline>
        </w:drawing>
      </w:r>
    </w:p>
    <w:p>
      <w:r>
        <w:rPr>
          <w:i/>
        </w:rPr>
        <w:t>Figura 12. Captura de terminal con la ejecución de pruebas unitarias.</w:t>
      </w:r>
    </w:p>
    <w:p>
      <w:pPr>
        <w:keepNext/>
        <w:jc w:val="center"/>
      </w:pPr>
      <w:r>
        <w:drawing>
          <wp:inline xmlns:a="http://schemas.openxmlformats.org/drawingml/2006/main" xmlns:pic="http://schemas.openxmlformats.org/drawingml/2006/picture">
            <wp:extent cx="5394960" cy="2948798"/>
            <wp:docPr id="13" name="Picture 13"/>
            <wp:cNvGraphicFramePr>
              <a:graphicFrameLocks noChangeAspect="1"/>
            </wp:cNvGraphicFramePr>
            <a:graphic>
              <a:graphicData uri="http://schemas.openxmlformats.org/drawingml/2006/picture">
                <pic:pic>
                  <pic:nvPicPr>
                    <pic:cNvPr id="0" name="captura-network-real.png"/>
                    <pic:cNvPicPr/>
                  </pic:nvPicPr>
                  <pic:blipFill>
                    <a:blip r:embed="rId23"/>
                    <a:stretch>
                      <a:fillRect/>
                    </a:stretch>
                  </pic:blipFill>
                  <pic:spPr>
                    <a:xfrm>
                      <a:off x="0" y="0"/>
                      <a:ext cx="5394960" cy="2948798"/>
                    </a:xfrm>
                    <a:prstGeom prst="rect"/>
                  </pic:spPr>
                </pic:pic>
              </a:graphicData>
            </a:graphic>
          </wp:inline>
        </w:drawing>
      </w:r>
    </w:p>
    <w:p>
      <w:r>
        <w:rPr>
          <w:i/>
        </w:rPr>
        <w:t>Figura 13. Chrome DevTools Network en una sesión de prueba local; permite observar solicitudes y respuestas del cliente.</w:t>
      </w:r>
    </w:p>
    <w:p>
      <w:pPr>
        <w:keepNext/>
        <w:jc w:val="center"/>
      </w:pPr>
      <w:r>
        <w:drawing>
          <wp:inline xmlns:a="http://schemas.openxmlformats.org/drawingml/2006/main" xmlns:pic="http://schemas.openxmlformats.org/drawingml/2006/picture">
            <wp:extent cx="5394960" cy="2948798"/>
            <wp:docPr id="14" name="Picture 14"/>
            <wp:cNvGraphicFramePr>
              <a:graphicFrameLocks noChangeAspect="1"/>
            </wp:cNvGraphicFramePr>
            <a:graphic>
              <a:graphicData uri="http://schemas.openxmlformats.org/drawingml/2006/picture">
                <pic:pic>
                  <pic:nvPicPr>
                    <pic:cNvPr id="0" name="captura-performance-real.png"/>
                    <pic:cNvPicPr/>
                  </pic:nvPicPr>
                  <pic:blipFill>
                    <a:blip r:embed="rId24"/>
                    <a:stretch>
                      <a:fillRect/>
                    </a:stretch>
                  </pic:blipFill>
                  <pic:spPr>
                    <a:xfrm>
                      <a:off x="0" y="0"/>
                      <a:ext cx="5394960" cy="2948798"/>
                    </a:xfrm>
                    <a:prstGeom prst="rect"/>
                  </pic:spPr>
                </pic:pic>
              </a:graphicData>
            </a:graphic>
          </wp:inline>
        </w:drawing>
      </w:r>
    </w:p>
    <w:p>
      <w:r>
        <w:rPr>
          <w:i/>
        </w:rPr>
        <w:t>Figura 14. Chrome DevTools Performance durante una búsqueda en una sesión de prueba local.</w:t>
      </w:r>
    </w:p>
    <w:p>
      <w:pPr>
        <w:keepNext/>
        <w:jc w:val="center"/>
      </w:pPr>
      <w:r>
        <w:drawing>
          <wp:inline xmlns:a="http://schemas.openxmlformats.org/drawingml/2006/main" xmlns:pic="http://schemas.openxmlformats.org/drawingml/2006/picture">
            <wp:extent cx="5394960" cy="2060875"/>
            <wp:docPr id="15" name="Picture 15"/>
            <wp:cNvGraphicFramePr>
              <a:graphicFrameLocks noChangeAspect="1"/>
            </wp:cNvGraphicFramePr>
            <a:graphic>
              <a:graphicData uri="http://schemas.openxmlformats.org/drawingml/2006/picture">
                <pic:pic>
                  <pic:nvPicPr>
                    <pic:cNvPr id="0" name="consulta-plan.png"/>
                    <pic:cNvPicPr/>
                  </pic:nvPicPr>
                  <pic:blipFill>
                    <a:blip r:embed="rId25"/>
                    <a:stretch>
                      <a:fillRect/>
                    </a:stretch>
                  </pic:blipFill>
                  <pic:spPr>
                    <a:xfrm>
                      <a:off x="0" y="0"/>
                      <a:ext cx="5394960" cy="2060875"/>
                    </a:xfrm>
                    <a:prstGeom prst="rect"/>
                  </pic:spPr>
                </pic:pic>
              </a:graphicData>
            </a:graphic>
          </wp:inline>
        </w:drawing>
      </w:r>
    </w:p>
    <w:p>
      <w:r>
        <w:rPr>
          <w:i/>
        </w:rPr>
        <w:t>Figura 15. Evidencia visual del plan de consulta e índices; corresponde a mediciones locales, no a un plan capturado en Neon.</w:t>
      </w:r>
    </w:p>
    <w:p>
      <w:r>
        <w:t xml:space="preserve">Las figuras 5–15 documentan pruebas locales, código o mediciones previas y no son transacciones de producción. En particular, no se creó, actualizó ni eliminó un incidente en la base desplegada durante esta verificación. Las capturas de DevTools Sensors y de un POST exitoso en DevTools quedan como pendientes manuales, indicadas en </w:t>
      </w:r>
      <w:r>
        <w:rPr>
          <w:rFonts w:ascii="Consolas" w:hAnsi="Consolas"/>
          <w:sz w:val="18"/>
        </w:rPr>
        <w:t>evidencias/devtools/CAPTURAS-MANUALES.md</w:t>
      </w:r>
      <w:r>
        <w:t>.</w:t>
      </w:r>
    </w:p>
    <w:p>
      <w:pPr>
        <w:pStyle w:val="Heading1"/>
      </w:pPr>
      <w:r>
        <w:t>6. Despliegue y límites</w:t>
      </w:r>
    </w:p>
    <w:p>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t>El Blueprint render.yaml configura Node, npm ci, npm start y /healthz; la base Neon se provision? por separado y el servicio obtuvo un subdominio HTTPS.</w:t>
      </w:r>
    </w:p>
    <w:p>
      <w:r>
        <w:t xml:space="preserve">Render Free puede dormir una instancia inactiva y demorar su reactivación. Neon Free limita almacenamiento/cómputo y suspende compute tras inactividad. No hay backup automático garantizado para la arquitectura gratuita documentada; realizar </w:t>
      </w:r>
      <w:r>
        <w:rPr>
          <w:rFonts w:ascii="Consolas" w:hAnsi="Consolas"/>
          <w:sz w:val="18"/>
        </w:rPr>
        <w:t>pg_dump</w:t>
      </w:r>
      <w:r>
        <w:t xml:space="preserve"> privado y ensayar restauración antes de datos reales. El rate limiter actual es local a una instancia; para escalar horizontalmente debe trasladarse a un almacén compartido. El despliegue gratuito se recomienda como demo académica, no para incidentes operacionales o información sensible.</w:t>
      </w:r>
    </w:p>
    <w:p>
      <w:pPr>
        <w:pStyle w:val="Heading2"/>
      </w:pPr>
      <w:r>
        <w:t>Estado verificado de producción</w:t>
      </w:r>
    </w:p>
    <w:p>
      <w:r>
        <w:t xml:space="preserve">El servicio </w:t>
      </w:r>
      <w:r>
        <w:rPr>
          <w:rFonts w:ascii="Consolas" w:hAnsi="Consolas"/>
          <w:sz w:val="18"/>
        </w:rPr>
        <w:t>plataforma-incidenta</w:t>
      </w:r>
      <w:r>
        <w:t xml:space="preserve"> se desplegó desde JonnathanBergara/Incidenta (https://github.com/JonnathanBergara/Incidenta), rama </w:t>
      </w:r>
      <w:r>
        <w:rPr>
          <w:rFonts w:ascii="Consolas" w:hAnsi="Consolas"/>
          <w:sz w:val="18"/>
        </w:rPr>
        <w:t>main</w:t>
      </w:r>
      <w:r>
        <w:t xml:space="preserve">, commit </w:t>
      </w:r>
      <w:r>
        <w:rPr>
          <w:rFonts w:ascii="Consolas" w:hAnsi="Consolas"/>
          <w:sz w:val="18"/>
        </w:rPr>
        <w:t>613e2ca</w:t>
      </w:r>
      <w:r>
        <w:t xml:space="preserve">, y quedó Live. Render completó las cuatro migraciones, insertó cuatro incidentes de ejemplo y creó las cuentas </w:t>
      </w:r>
      <w:r>
        <w:rPr>
          <w:rFonts w:ascii="Consolas" w:hAnsi="Consolas"/>
          <w:sz w:val="18"/>
        </w:rPr>
        <w:t>admin</w:t>
      </w:r>
      <w:r>
        <w:t xml:space="preserve">, </w:t>
      </w:r>
      <w:r>
        <w:rPr>
          <w:rFonts w:ascii="Consolas" w:hAnsi="Consolas"/>
          <w:sz w:val="18"/>
        </w:rPr>
        <w:t>analista</w:t>
      </w:r>
      <w:r>
        <w:t xml:space="preserve"> y </w:t>
      </w:r>
      <w:r>
        <w:rPr>
          <w:rFonts w:ascii="Consolas" w:hAnsi="Consolas"/>
          <w:sz w:val="18"/>
        </w:rPr>
        <w:t>lector</w:t>
      </w:r>
      <w:r>
        <w:t xml:space="preserve">. </w:t>
      </w:r>
      <w:r>
        <w:rPr>
          <w:rFonts w:ascii="Consolas" w:hAnsi="Consolas"/>
          <w:sz w:val="18"/>
        </w:rPr>
        <w:t>DATABASE_URL</w:t>
      </w:r>
      <w:r>
        <w:t xml:space="preserve"> y las contraseñas iniciales se configuraron como secretos y no se reproducen aquí. La aplicación está disponible en &lt;https://plataforma-incidenta.onrender.com&gt;; el health check público respondió HTTP 200 con </w:t>
      </w:r>
      <w:r>
        <w:rPr>
          <w:rFonts w:ascii="Consolas" w:hAnsi="Consolas"/>
          <w:sz w:val="18"/>
        </w:rPr>
        <w:t>{"status":"ok"}</w:t>
      </w:r>
      <w:r>
        <w:t>.</w:t>
      </w:r>
    </w:p>
    <w:p>
      <w:pPr>
        <w:pStyle w:val="Heading1"/>
      </w:pPr>
      <w:r>
        <w:t>7. Reproducción</w:t>
      </w:r>
    </w:p>
    <w:p>
      <w:r>
        <w:t xml:space="preserve">Consultar </w:t>
      </w:r>
      <w:r>
        <w:rPr>
          <w:rFonts w:ascii="Consolas" w:hAnsi="Consolas"/>
          <w:sz w:val="18"/>
        </w:rPr>
        <w:t>docs/ARQUITECTURA-DESPLIEGUE.md</w:t>
      </w:r>
      <w:r>
        <w:t xml:space="preserve"> para publicar y </w:t>
      </w:r>
      <w:r>
        <w:rPr>
          <w:rFonts w:ascii="Consolas" w:hAnsi="Consolas"/>
          <w:sz w:val="18"/>
        </w:rPr>
        <w:t>docs/GUIA-USUARIO.md</w:t>
      </w:r>
      <w:r>
        <w:t xml:space="preserve"> para operar. Localmente: </w:t>
      </w:r>
      <w:r>
        <w:rPr>
          <w:rFonts w:ascii="Consolas" w:hAnsi="Consolas"/>
          <w:sz w:val="18"/>
        </w:rPr>
        <w:t>npm ci</w:t>
      </w:r>
      <w:r>
        <w:t xml:space="preserve">, completar </w:t>
      </w:r>
      <w:r>
        <w:rPr>
          <w:rFonts w:ascii="Consolas" w:hAnsi="Consolas"/>
          <w:sz w:val="18"/>
        </w:rPr>
        <w:t>.env</w:t>
      </w:r>
      <w:r>
        <w:t xml:space="preserve"> con PostgreSQL, </w:t>
      </w:r>
      <w:r>
        <w:rPr>
          <w:rFonts w:ascii="Consolas" w:hAnsi="Consolas"/>
          <w:sz w:val="18"/>
        </w:rPr>
        <w:t>npm run migrate</w:t>
      </w:r>
      <w:r>
        <w:t xml:space="preserve">, </w:t>
      </w:r>
      <w:r>
        <w:rPr>
          <w:rFonts w:ascii="Consolas" w:hAnsi="Consolas"/>
          <w:sz w:val="18"/>
        </w:rPr>
        <w:t>npm run seed</w:t>
      </w:r>
      <w:r>
        <w:t xml:space="preserve">, </w:t>
      </w:r>
      <w:r>
        <w:rPr>
          <w:rFonts w:ascii="Consolas" w:hAnsi="Consolas"/>
          <w:sz w:val="18"/>
        </w:rPr>
        <w:t>npm start</w:t>
      </w:r>
      <w:r>
        <w:t xml:space="preserve">, luego verificar </w:t>
      </w:r>
      <w:r>
        <w:rPr>
          <w:rFonts w:ascii="Consolas" w:hAnsi="Consolas"/>
          <w:sz w:val="18"/>
        </w:rPr>
        <w:t>/healthz</w:t>
      </w:r>
      <w:r>
        <w:t xml:space="preserve">. En CI: </w:t>
      </w:r>
      <w:r>
        <w:rPr>
          <w:rFonts w:ascii="Consolas" w:hAnsi="Consolas"/>
          <w:sz w:val="18"/>
        </w:rPr>
        <w:t>npm test</w:t>
      </w:r>
      <w:r>
        <w:t xml:space="preserve"> y </w:t>
      </w:r>
      <w:r>
        <w:rPr>
          <w:rFonts w:ascii="Consolas" w:hAnsi="Consolas"/>
          <w:sz w:val="18"/>
        </w:rPr>
        <w:t>npm run lint</w:t>
      </w:r>
      <w:r>
        <w:t xml:space="preserve">. Nunca incluir </w:t>
      </w:r>
      <w:r>
        <w:rPr>
          <w:rFonts w:ascii="Consolas" w:hAnsi="Consolas"/>
          <w:sz w:val="18"/>
        </w:rPr>
        <w:t>.env</w:t>
      </w:r>
      <w:r>
        <w:t>, connection strings, credenciales ni datos de usuarios en capturas o Git.</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Incidenta ? 21 octubre 2026 ? P?gina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37A65"/>
        <w:sz w:val="16"/>
      </w:rPr>
      <w:t>INCIDENTA  |  MEMORIA T?CNICA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02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B3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37A6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37A6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B3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Incidenta - Memoria t?cnica</dc:title>
  <dc:subject>Arquitectura, despliegue y evidencias de Incidenta</dc:subject>
  <dc:creator>Equipo Incidenta</dc:creator>
  <cp:keywords/>
  <dc:description>generated by python-docx</dc:description>
  <cp:lastModifiedBy/>
  <cp:revision>1</cp:revision>
  <dcterms:created xsi:type="dcterms:W3CDTF">2013-12-23T23:15:00Z</dcterms:created>
  <dcterms:modified xsi:type="dcterms:W3CDTF">2013-12-23T23:15:00Z</dcterms:modified>
  <cp:category/>
</cp:coreProperties>
</file>