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tabs>
          <w:tab w:pos="9720" w:val="left"/>
        </w:tabs>
        <w:spacing w:before="0" w:after="20" w:line="269" w:lineRule="auto"/>
      </w:pPr>
      <w:r>
        <w:rPr>
          <w:rFonts w:ascii="Poppins SemiBold" w:hAnsi="Poppins SemiBold"/>
          <w:b/>
          <w:color w:val="111111"/>
          <w:sz w:val="25"/>
        </w:rPr>
        <w:t>Northwind Fabrication</w:t>
      </w:r>
      <w:r>
        <w:tab/>
      </w:r>
      <w:r>
        <w:rPr>
          <w:rFonts w:ascii="Poppins SemiBold" w:hAnsi="Poppins SemiBold"/>
          <w:b/>
          <w:color w:val="4743FF"/>
          <w:sz w:val="25"/>
        </w:rPr>
        <w:t>{!Packet.SupplierName}</w:t>
      </w:r>
    </w:p>
    <w:p>
      <w:pPr>
        <w:spacing w:before="340" w:after="220" w:line="269" w:lineRule="auto"/>
        <w:jc w:val="center"/>
        <w:shd w:fill="FFFFFF"/>
        <w:pBdr>
          <w:bottom w:val="single" w:sz="8" w:space="4" w:color="A6A6A6"/>
        </w:pBdr>
      </w:pPr>
      <w:r>
        <w:rPr>
          <w:rFonts w:ascii="Poppins" w:hAnsi="Poppins"/>
          <w:b/>
          <w:color w:val="111111"/>
          <w:sz w:val="42"/>
        </w:rPr>
        <w:t>SUPPLIER CREDIT ACKNOWLEDGEMENT</w:t>
      </w:r>
    </w:p>
    <w:p>
      <w:pPr>
        <w:keepNext/>
        <w:spacing w:before="180" w:after="60" w:line="269" w:lineRule="auto"/>
      </w:pPr>
      <w:r>
        <w:rPr>
          <w:rFonts w:ascii="Poppins" w:hAnsi="Poppins"/>
          <w:b/>
          <w:color w:val="111111"/>
          <w:sz w:val="19"/>
        </w:rPr>
        <w:t>EXCEPTION SUMMARY</w:t>
      </w:r>
    </w:p>
    <w:p>
      <w:pPr>
        <w:spacing w:before="0" w:after="100" w:line="269" w:lineRule="auto"/>
      </w:pPr>
      <w:r>
        <w:rPr>
          <w:rFonts w:ascii="Poppins" w:hAnsi="Poppins"/>
          <w:b w:val="0"/>
          <w:color w:val="111111"/>
          <w:sz w:val="21"/>
        </w:rPr>
        <w:t>ClearPacket matched purchase order {!Packet.PurchaseOrderNumber}, invoice {!Packet.InvoiceNumber}, and the delivery receipt. The invoice lists {!Packet.InvoiceQuantity} units; both the order and receipt show {!Packet.ReceivedQuantity}.</w:t>
      </w:r>
    </w:p>
    <w:p>
      <w:pPr>
        <w:keepNext/>
        <w:spacing w:before="180" w:after="60" w:line="269" w:lineRule="auto"/>
      </w:pPr>
      <w:r>
        <w:rPr>
          <w:rFonts w:ascii="Poppins" w:hAnsi="Poppins"/>
          <w:b/>
          <w:color w:val="111111"/>
          <w:sz w:val="19"/>
        </w:rPr>
        <w:t>VERIFIED ADJUSTMENT</w:t>
      </w:r>
    </w:p>
    <w:p>
      <w:pPr>
        <w:spacing w:before="0" w:after="120" w:line="269" w:lineRule="auto"/>
        <w:shd w:fill="F0EFFF"/>
      </w:pPr>
      <w:r>
        <w:rPr>
          <w:rFonts w:ascii="Poppins" w:hAnsi="Poppins"/>
          <w:b w:val="0"/>
          <w:color w:val="111111"/>
          <w:sz w:val="21"/>
        </w:rPr>
        <w:t>Reviewer {!Packet.ReviewerName} approved payment for {!Packet.PayableQuantity} received units at ${!$format(toDecimal(Packet.UnitPrice), 'number', '#,###.00')} each. The supplier credit is ${!$format(toDecimal(Packet.AdjustmentAmount), 'number', '#,###.00')}.</w:t>
      </w:r>
    </w:p>
    <w:p>
      <w:pPr>
        <w:keepNext/>
        <w:spacing w:before="180" w:after="60" w:line="269" w:lineRule="auto"/>
      </w:pPr>
      <w:r>
        <w:rPr>
          <w:rFonts w:ascii="Poppins" w:hAnsi="Poppins"/>
          <w:b/>
          <w:color w:val="111111"/>
          <w:sz w:val="19"/>
        </w:rPr>
        <w:t>ADJUSTMENT DETAIL</w:t>
      </w:r>
    </w:p>
    <w:p>
      <w:pPr>
        <w:spacing w:before="0" w:after="80" w:line="252" w:lineRule="auto"/>
      </w:pPr>
      <w:r>
        <w:rPr>
          <w:rFonts w:ascii="Poppins" w:hAnsi="Poppins"/>
          <w:b w:val="0"/>
          <w:color w:val="4743FF"/>
          <w:sz w:val="18"/>
        </w:rPr>
        <w:t>&lt;mdoc:repeater name="adjustments" value="{!Packet.Adjustments}" variable="item" mode="standard"&gt;</w:t>
      </w:r>
    </w:p>
    <w:p>
      <w:pPr>
        <w:spacing w:before="0" w:after="80" w:line="252" w:lineRule="auto"/>
      </w:pPr>
      <w:r>
        <w:rPr>
          <w:rFonts w:ascii="Poppins" w:hAnsi="Poppins"/>
          <w:b w:val="0"/>
          <w:color w:val="111111"/>
          <w:sz w:val="18"/>
        </w:rPr>
        <w:t>{!#item#.ItemSku}  |  {!#item#.Description}</w:t>
      </w:r>
    </w:p>
    <w:p>
      <w:pPr>
        <w:spacing w:before="0" w:after="80" w:line="252" w:lineRule="auto"/>
      </w:pPr>
      <w:r>
        <w:rPr>
          <w:rFonts w:ascii="Poppins" w:hAnsi="Poppins"/>
          <w:b w:val="0"/>
          <w:color w:val="111111"/>
          <w:sz w:val="18"/>
        </w:rPr>
        <w:t>Billed {!#item#.InvoiceQuantity}  |  Received {!#item#.ReceivedQuantity}  |  Credit ${!$format(toDecimal(#item#.AdjustmentAmount), 'number', '#,###.00')}</w:t>
      </w:r>
    </w:p>
    <w:p>
      <w:pPr>
        <w:spacing w:before="0" w:after="120" w:line="252" w:lineRule="auto"/>
      </w:pPr>
      <w:r>
        <w:rPr>
          <w:rFonts w:ascii="Poppins" w:hAnsi="Poppins"/>
          <w:b w:val="0"/>
          <w:color w:val="4743FF"/>
          <w:sz w:val="18"/>
        </w:rPr>
        <w:t>&lt;/mdoc:repeater name="adjustments"&gt;</w:t>
      </w:r>
    </w:p>
    <w:p>
      <w:pPr>
        <w:spacing w:before="40" w:after="140" w:line="269" w:lineRule="auto"/>
        <w:jc w:val="right"/>
      </w:pPr>
      <w:r>
        <w:rPr>
          <w:rFonts w:ascii="Poppins" w:hAnsi="Poppins"/>
          <w:b/>
          <w:color w:val="111111"/>
          <w:sz w:val="23"/>
        </w:rPr>
        <w:t>TOTAL CREDIT: ${!$format(sum(Packet.Adjustments, "AdjustmentAmount"), 'number', '#,###.00')}</w:t>
      </w:r>
    </w:p>
    <w:p>
      <w:pPr>
        <w:spacing w:before="0" w:after="80" w:line="252" w:lineRule="auto"/>
      </w:pPr>
      <w:r>
        <w:rPr>
          <w:rFonts w:ascii="Poppins" w:hAnsi="Poppins"/>
          <w:b w:val="0"/>
          <w:color w:val="4743FF"/>
          <w:sz w:val="18"/>
        </w:rPr>
        <w:t>&lt;mdoc:paragraph name="credit-required" hidden="{!$toDecimal(Packet.AdjustmentAmount) &lt;= 0}"&gt;</w:t>
      </w:r>
    </w:p>
    <w:p>
      <w:pPr>
        <w:spacing w:before="0" w:after="80" w:line="269" w:lineRule="auto"/>
      </w:pPr>
      <w:r>
        <w:rPr>
          <w:rFonts w:ascii="Poppins" w:hAnsi="Poppins"/>
          <w:b w:val="0"/>
          <w:color w:val="111111"/>
          <w:sz w:val="21"/>
        </w:rPr>
        <w:t>Apex Industrial Supply acknowledges that the invoice must be reduced by ${!$format(toDecimal(Packet.AdjustmentAmount), 'number', '#,###.00')} before payment.</w:t>
      </w:r>
    </w:p>
    <w:p>
      <w:pPr>
        <w:spacing w:before="0" w:after="120" w:line="252" w:lineRule="auto"/>
      </w:pPr>
      <w:r>
        <w:rPr>
          <w:rFonts w:ascii="Poppins" w:hAnsi="Poppins"/>
          <w:b w:val="0"/>
          <w:color w:val="4743FF"/>
          <w:sz w:val="18"/>
        </w:rPr>
        <w:t>&lt;/mdoc:paragraph name="credit-required"&gt;</w:t>
      </w:r>
    </w:p>
    <w:p>
      <w:pPr>
        <w:keepNext/>
        <w:spacing w:before="180" w:after="60" w:line="269" w:lineRule="auto"/>
      </w:pPr>
      <w:r>
        <w:rPr>
          <w:rFonts w:ascii="Poppins" w:hAnsi="Poppins"/>
          <w:b/>
          <w:color w:val="111111"/>
          <w:sz w:val="19"/>
        </w:rPr>
        <w:t>EVIDENCE AND CONTROL</w:t>
      </w:r>
    </w:p>
    <w:p>
      <w:pPr>
        <w:spacing w:before="0" w:after="140" w:line="269" w:lineRule="auto"/>
      </w:pPr>
      <w:r>
        <w:rPr>
          <w:rFonts w:ascii="Poppins" w:hAnsi="Poppins"/>
          <w:b w:val="0"/>
          <w:color w:val="111111"/>
          <w:sz w:val="21"/>
        </w:rPr>
        <w:t>Packet {!Packet.PacketId} keeps the three source filenames, extracted values, deterministic checks, and the human decision dated {!Packet.DecisionDate}. This acknowledgement records the resolution; it does not authorize payment without the stated review.</w:t>
      </w:r>
    </w:p>
    <w:p>
      <w:pPr>
        <w:tabs>
          <w:tab w:pos="4824" w:val="left"/>
        </w:tabs>
        <w:spacing w:before="220" w:after="0" w:line="269" w:lineRule="auto"/>
      </w:pPr>
      <w:r>
        <w:rPr>
          <w:rFonts w:ascii="Poppins" w:hAnsi="Poppins"/>
          <w:b/>
          <w:color w:val="666666"/>
          <w:sz w:val="17"/>
        </w:rPr>
        <w:t>AP REVIEWER</w:t>
      </w:r>
      <w:r>
        <w:tab/>
      </w:r>
      <w:r>
        <w:rPr>
          <w:rFonts w:ascii="Poppins" w:hAnsi="Poppins"/>
          <w:b/>
          <w:color w:val="666666"/>
          <w:sz w:val="17"/>
        </w:rPr>
        <w:t>SUPPLIER ACKNOWLEDGEMENT</w:t>
      </w:r>
    </w:p>
    <w:p>
      <w:pPr>
        <w:tabs>
          <w:tab w:pos="4824" w:val="left"/>
        </w:tabs>
        <w:spacing w:before="340" w:after="40" w:line="269" w:lineRule="auto"/>
      </w:pPr>
      <w:r>
        <w:rPr>
          <w:rFonts w:ascii="Poppins" w:hAnsi="Poppins"/>
          <w:b w:val="0"/>
          <w:color w:val="666666"/>
          <w:sz w:val="18"/>
        </w:rPr>
        <w:t>________________________________</w:t>
      </w:r>
      <w:r>
        <w:tab/>
      </w:r>
      <w:r>
        <w:rPr>
          <w:rFonts w:ascii="Poppins" w:hAnsi="Poppins"/>
          <w:b w:val="0"/>
          <w:color w:val="666666"/>
          <w:sz w:val="18"/>
        </w:rPr>
        <w:t>________________________________</w:t>
      </w:r>
    </w:p>
    <w:p>
      <w:pPr>
        <w:tabs>
          <w:tab w:pos="4824" w:val="left"/>
        </w:tabs>
        <w:spacing w:before="0" w:after="0" w:line="269" w:lineRule="auto"/>
      </w:pPr>
      <w:r>
        <w:rPr>
          <w:rFonts w:ascii="Poppins" w:hAnsi="Poppins"/>
          <w:b w:val="0"/>
          <w:color w:val="111111"/>
          <w:sz w:val="19"/>
        </w:rPr>
        <w:t>{!Packet.ReviewerName}</w:t>
      </w:r>
      <w:r>
        <w:tab/>
      </w:r>
      <w:r>
        <w:rPr>
          <w:rFonts w:ascii="Poppins" w:hAnsi="Poppins"/>
          <w:b w:val="0"/>
          <w:color w:val="111111"/>
          <w:sz w:val="19"/>
        </w:rPr>
        <w:t>{!Packet.SupplierName}</w:t>
      </w:r>
    </w:p>
    <w:sectPr w:rsidR="00761D05">
      <w:headerReference w:type="default" r:id="rId6"/>
      <w:footerReference w:type="default" r:id="rId9"/>
      <w:pgSz w:w="12240" w:h="15840"/>
      <w:pgMar w:top="1181" w:right="1224" w:bottom="1037" w:left="1224" w:header="518" w:footer="547" w:gutter="0"/>
      <w:pgNumType w:start="1"/>
      <w:cols w:num="1" w:space="720" w:equalWidth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78238" w14:textId="77777777" w:rsidR="00751FB0" w:rsidRDefault="00751FB0">
      <w:pPr>
        <w:spacing w:line="240" w:lineRule="auto"/>
      </w:pPr>
      <w:r>
        <w:separator/>
      </w:r>
    </w:p>
  </w:endnote>
  <w:endnote w:type="continuationSeparator" w:id="0">
    <w:p w14:paraId="7673D310" w14:textId="77777777" w:rsidR="00751FB0" w:rsidRDefault="00751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  <w:embedRegular r:id="rId1" w:fontKey="{23C1F72B-C7E4-4DD3-91C5-8168D63AC761}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2" w:fontKey="{FE5538C2-0337-42AC-8797-31C3784CB8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57E7C85-3E11-4571-897E-4932E3CBE2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130B71E-7AD6-40B7-BBE6-2DE92BB61F22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oppins" w:hAnsi="Poppins"/>
        <w:b w:val="0"/>
        <w:color w:val="666666"/>
        <w:sz w:val="15"/>
      </w:rPr>
      <w:t>ClearPacket evidence  /  Doctavian document generation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D39DA" w14:textId="77777777" w:rsidR="00751FB0" w:rsidRDefault="00751FB0">
      <w:pPr>
        <w:spacing w:line="240" w:lineRule="auto"/>
      </w:pPr>
      <w:r>
        <w:separator/>
      </w:r>
    </w:p>
  </w:footnote>
  <w:footnote w:type="continuationSeparator" w:id="0">
    <w:p w14:paraId="33F7EC30" w14:textId="77777777" w:rsidR="00751FB0" w:rsidRDefault="00751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4B7A" w14:textId="77777777" w:rsidR="00761D05" w:rsidRDefault="00000000">
    <w:pPr>
      <w:ind w:hanging="180"/>
    </w:pPr>
    <w:r>
      <w:rPr>
        <w:noProof/>
      </w:rPr>
      <w:drawing>
        <wp:inline distT="114300" distB="114300" distL="114300" distR="114300" wp14:anchorId="2A44385B" wp14:editId="1632D2F4">
          <wp:extent cx="1962150" cy="445762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2150" cy="4457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D05"/>
    <w:rsid w:val="000A4C49"/>
    <w:rsid w:val="001B13A1"/>
    <w:rsid w:val="003A1A1A"/>
    <w:rsid w:val="003B6EDC"/>
    <w:rsid w:val="0043725F"/>
    <w:rsid w:val="004B72FD"/>
    <w:rsid w:val="0052682D"/>
    <w:rsid w:val="00546904"/>
    <w:rsid w:val="00751FB0"/>
    <w:rsid w:val="00761D05"/>
    <w:rsid w:val="00767501"/>
    <w:rsid w:val="007B1101"/>
    <w:rsid w:val="008538E8"/>
    <w:rsid w:val="0086050E"/>
    <w:rsid w:val="0087601D"/>
    <w:rsid w:val="008E21DC"/>
    <w:rsid w:val="00A336A6"/>
    <w:rsid w:val="00BA3684"/>
    <w:rsid w:val="00BC597F"/>
    <w:rsid w:val="00D51052"/>
    <w:rsid w:val="00DA29BD"/>
    <w:rsid w:val="00ED079E"/>
    <w:rsid w:val="00F87D57"/>
    <w:rsid w:val="00FB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EC24D"/>
  <w15:docId w15:val="{C94D1E68-DD15-49C5-B605-92C267A20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79EB841-78B2-4519-9CDD-1F98D158EBDB}">
  <we:reference id="wa200008920" version="1.0.0.0" store="en-US" storeType="OMEX"/>
  <we:alternateReferences>
    <we:reference id="WA200008920" version="1.0.0.0" store="WA200008920" storeType="OMEX"/>
  </we:alternateReferences>
  <we:properties>
    <we:property name="firstTime" value="&quot;tru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Kanwal Roshi</cp:lastModifiedBy>
  <cp:revision>12</cp:revision>
  <dcterms:created xsi:type="dcterms:W3CDTF">2026-07-07T12:46:00Z</dcterms:created>
  <dcterms:modified xsi:type="dcterms:W3CDTF">2026-07-14T14:24:00Z</dcterms:modified>
  <dc:title>ClearPacket supplier credit acknowledgement</dc:title>
  <dc:subject>Doctavian generation template</dc:subject>
  <dc:creator>ClearPacket</dc:creator>
  <cp:keywords>ClearPacket, Doctavian, invoice, credit acknowledgement</cp:keywords>
</cp:coreProperties>
</file>