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b w:val="1"/>
          <w:sz w:val="144"/>
          <w:szCs w:val="1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מעבדה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בעיצוב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תבניות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u w:val="single"/>
          <w:rtl w:val="1"/>
        </w:rPr>
        <w:t xml:space="preserve">בתוכנה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sz w:val="96"/>
          <w:szCs w:val="9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825.0" w:type="dxa"/>
        <w:jc w:val="left"/>
        <w:tblInd w:w="6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015"/>
        <w:gridCol w:w="3810"/>
        <w:tblGridChange w:id="0">
          <w:tblGrid>
            <w:gridCol w:w="3015"/>
            <w:gridCol w:w="3810"/>
          </w:tblGrid>
        </w:tblGridChange>
      </w:tblGrid>
      <w:tr>
        <w:trPr>
          <w:trHeight w:val="78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bidi w:val="1"/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  <w:rtl w:val="1"/>
              </w:rPr>
              <w:t xml:space="preserve">שם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  <w:rtl w:val="1"/>
              </w:rPr>
              <w:t xml:space="preserve">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u w:val="single"/>
                <w:rtl w:val="1"/>
              </w:rPr>
              <w:t xml:space="preserve">ז</w:t>
            </w:r>
          </w:p>
        </w:tc>
      </w:tr>
      <w:tr>
        <w:trPr>
          <w:trHeight w:val="36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ולדיסלב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ברקנס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317225993</w:t>
            </w:r>
          </w:p>
        </w:tc>
      </w:tr>
      <w:tr>
        <w:trPr>
          <w:trHeight w:val="36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אופק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שחר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204396782</w:t>
            </w:r>
          </w:p>
        </w:tc>
      </w:tr>
      <w:tr>
        <w:trPr>
          <w:trHeight w:val="36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יונתן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1"/>
              </w:rPr>
              <w:t xml:space="preserve">גוב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316569458</w:t>
            </w:r>
          </w:p>
        </w:tc>
      </w:tr>
    </w:tbl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הרצה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נכנסים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לתיקייה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release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לוחצים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פעמיים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InsuranceCompany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מהקוד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בחבילה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מהתוכנה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פתיחה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3066884" cy="37991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884" cy="379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Apartment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שנעשו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מהכפתורים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Life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Apartment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Family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Credit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האשראי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yyyy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ספרה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המלבן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3225" cy="23348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25" cy="23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שיפתח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התאריך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907143" cy="190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14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לחזרה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לתפריט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שנרשם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להימחק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885984" cy="19224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84" cy="192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תבקש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נשמר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ינוקו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ויקפוץ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4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3448050" cy="16478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תסגור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הקופץ</w:t>
      </w:r>
    </w:p>
    <w:p w:rsidR="00000000" w:rsidDel="00000000" w:rsidP="00000000" w:rsidRDefault="00000000" w:rsidRPr="00000000" w14:paraId="00000046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בביטוחים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 all purchases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3937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שנרכשו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907143" cy="1905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14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לתבניות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התכן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238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מפרידה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היתרון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המשמעותי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שיוצרים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לוגיקה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MainInsuranceBuilder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ViewInsuranceBuilder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NewFormBuilder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B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הבניה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מגדירים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והחלון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מתחלף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Facade</w:t>
      </w:r>
    </w:p>
    <w:p w:rsidR="00000000" w:rsidDel="00000000" w:rsidP="00000000" w:rsidRDefault="00000000" w:rsidRPr="00000000" w14:paraId="0000006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משמשת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CreateInsuraceFacade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החבילה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InsuraceType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ויווצר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enums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entities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Abstract Factory</w:t>
      </w:r>
    </w:p>
    <w:p w:rsidR="00000000" w:rsidDel="00000000" w:rsidP="00000000" w:rsidRDefault="00000000" w:rsidRPr="00000000" w14:paraId="00000067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משמשת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אבסטרקציה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המייצרים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יכיר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המפעל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CreateInsurance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המפעלים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InsuranceData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IsuranceData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מייצר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היחידי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עתידי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שחשוב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  </w:t>
      </w:r>
    </w:p>
    <w:p w:rsidR="00000000" w:rsidDel="00000000" w:rsidP="00000000" w:rsidRDefault="00000000" w:rsidRPr="00000000" w14:paraId="00000068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5908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Singleton</w:t>
      </w:r>
    </w:p>
    <w:p w:rsidR="00000000" w:rsidDel="00000000" w:rsidP="00000000" w:rsidRDefault="00000000" w:rsidRPr="00000000" w14:paraId="0000006B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סטטי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jc w:val="left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3095625" cy="14192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התנגשויות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סטטי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שקראנו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singelton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והבנאי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לבנאי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הסטטי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שנטענים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הצהרה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6E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Data Access Object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מיועדת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לתוכנית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ומקשרים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גירסה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שדיברנו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dataBaseStartgey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נרחיב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InsuranceDAO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metaDataDao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שולחות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ולקרוא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שנקראת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לתרגם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3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במחלקות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בממשקי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הרצוי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הצהרנו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שמחייב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בממשקים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metaDataDao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InsuranceDao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ובעצם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המתכנת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החבילה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כקופסא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השילוב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תבניות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העיצוב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שנצתרך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שיממשו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הביטוחים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Strategy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משמשת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שמתודה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תתממש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האסטרטגיה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שמתודה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שילבנו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dataBaseStartgey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מחליטה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מיועדת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עתידי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וגירסאות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תגדיר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שמטפלת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תממש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החזרת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dataBaseStartegy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דיאגרמת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דיאגרמת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המחלקות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נועדה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להדגיש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תבניות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העיצוב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מצורפת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בתיקייה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Extras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דיאגרמה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מלאה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30861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8.png"/><Relationship Id="rId21" Type="http://schemas.openxmlformats.org/officeDocument/2006/relationships/image" Target="media/image6.png"/><Relationship Id="rId24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20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9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