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68D23" w14:textId="77777777" w:rsidR="00000A7F" w:rsidRPr="00F17496" w:rsidRDefault="00000A7F" w:rsidP="00000A7F">
      <w:pPr>
        <w:ind w:firstLine="0"/>
        <w:jc w:val="center"/>
        <w:rPr>
          <w:b/>
        </w:rPr>
      </w:pPr>
      <w:bookmarkStart w:id="0" w:name="_Toc486928045"/>
      <w:r>
        <w:rPr>
          <w:b/>
        </w:rPr>
        <w:softHyphen/>
      </w:r>
      <w:r w:rsidRPr="00F17496">
        <w:rPr>
          <w:b/>
        </w:rPr>
        <w:t>UNIVERSIDADE DE SÃO PAULO</w:t>
      </w:r>
    </w:p>
    <w:p w14:paraId="53BFB290" w14:textId="4492F6A1" w:rsidR="003E206B" w:rsidRDefault="003E206B" w:rsidP="003E206B">
      <w:pPr>
        <w:ind w:firstLine="0"/>
        <w:jc w:val="center"/>
        <w:rPr>
          <w:b/>
        </w:rPr>
      </w:pPr>
    </w:p>
    <w:p w14:paraId="39C1A5EC" w14:textId="3F2E96DB" w:rsidR="003E206B" w:rsidRDefault="003E206B" w:rsidP="003E206B">
      <w:pPr>
        <w:ind w:firstLine="0"/>
        <w:jc w:val="center"/>
        <w:rPr>
          <w:b/>
        </w:rPr>
      </w:pPr>
    </w:p>
    <w:p w14:paraId="7C3210CE" w14:textId="77777777" w:rsidR="00000A7F" w:rsidRDefault="00000A7F" w:rsidP="00000A7F">
      <w:pPr>
        <w:ind w:firstLine="0"/>
        <w:jc w:val="center"/>
        <w:rPr>
          <w:b/>
        </w:rPr>
      </w:pPr>
    </w:p>
    <w:p w14:paraId="27BBAE84" w14:textId="74518EA7" w:rsidR="00000A7F" w:rsidRDefault="00000A7F" w:rsidP="00000A7F">
      <w:pPr>
        <w:ind w:firstLine="0"/>
        <w:jc w:val="center"/>
        <w:rPr>
          <w:b/>
        </w:rPr>
      </w:pPr>
    </w:p>
    <w:p w14:paraId="77DA850A" w14:textId="152ED1E3" w:rsidR="00000A7F" w:rsidRDefault="00000A7F" w:rsidP="00000A7F">
      <w:pPr>
        <w:ind w:firstLine="0"/>
        <w:jc w:val="center"/>
        <w:rPr>
          <w:b/>
        </w:rPr>
      </w:pPr>
    </w:p>
    <w:p w14:paraId="4036B1AE" w14:textId="77777777" w:rsidR="00000A7F" w:rsidRDefault="00000A7F" w:rsidP="00000A7F">
      <w:pPr>
        <w:ind w:firstLine="0"/>
        <w:jc w:val="center"/>
        <w:rPr>
          <w:b/>
        </w:rPr>
      </w:pPr>
    </w:p>
    <w:p w14:paraId="6622C535" w14:textId="77777777" w:rsidR="00000A7F" w:rsidRDefault="00000A7F" w:rsidP="00000A7F">
      <w:pPr>
        <w:ind w:firstLine="0"/>
        <w:jc w:val="center"/>
        <w:rPr>
          <w:b/>
        </w:rPr>
      </w:pPr>
    </w:p>
    <w:p w14:paraId="5EF4787D" w14:textId="77777777" w:rsidR="00000A7F" w:rsidRDefault="00000A7F" w:rsidP="00000A7F">
      <w:pPr>
        <w:ind w:firstLine="0"/>
        <w:jc w:val="center"/>
        <w:rPr>
          <w:b/>
        </w:rPr>
      </w:pPr>
    </w:p>
    <w:p w14:paraId="63BF4560" w14:textId="77777777" w:rsidR="00000A7F" w:rsidRPr="004F2669" w:rsidRDefault="00000A7F" w:rsidP="00000A7F">
      <w:pPr>
        <w:ind w:firstLine="0"/>
        <w:jc w:val="center"/>
      </w:pPr>
      <w:r w:rsidRPr="004F2669">
        <w:t>LUCIANO NURNBERG PERES</w:t>
      </w:r>
    </w:p>
    <w:p w14:paraId="3BD55848" w14:textId="77777777" w:rsidR="00000A7F" w:rsidRPr="004F2669" w:rsidRDefault="00000A7F" w:rsidP="00000A7F">
      <w:pPr>
        <w:ind w:firstLine="0"/>
        <w:jc w:val="center"/>
      </w:pPr>
    </w:p>
    <w:p w14:paraId="02A884EC" w14:textId="77777777" w:rsidR="00000A7F" w:rsidRPr="004F2669" w:rsidRDefault="00000A7F" w:rsidP="00000A7F">
      <w:pPr>
        <w:ind w:firstLine="0"/>
        <w:jc w:val="center"/>
      </w:pPr>
    </w:p>
    <w:p w14:paraId="15FFFF25" w14:textId="0D4B2D3E" w:rsidR="00000A7F" w:rsidRDefault="00000A7F" w:rsidP="00000A7F">
      <w:pPr>
        <w:ind w:firstLine="0"/>
        <w:jc w:val="center"/>
      </w:pPr>
    </w:p>
    <w:p w14:paraId="18134C83" w14:textId="77777777" w:rsidR="00000A7F" w:rsidRPr="004F2669" w:rsidRDefault="00000A7F" w:rsidP="00000A7F">
      <w:pPr>
        <w:ind w:firstLine="0"/>
        <w:jc w:val="center"/>
      </w:pPr>
    </w:p>
    <w:p w14:paraId="18EBE4C5" w14:textId="77777777" w:rsidR="00000A7F" w:rsidRPr="004F2669" w:rsidRDefault="00000A7F" w:rsidP="00000A7F">
      <w:pPr>
        <w:ind w:firstLine="0"/>
        <w:jc w:val="center"/>
      </w:pPr>
    </w:p>
    <w:p w14:paraId="2CB41822" w14:textId="77777777" w:rsidR="00000A7F" w:rsidRPr="004F2669" w:rsidRDefault="00000A7F" w:rsidP="00000A7F">
      <w:pPr>
        <w:ind w:firstLine="0"/>
        <w:jc w:val="center"/>
      </w:pPr>
    </w:p>
    <w:p w14:paraId="204CF7F8" w14:textId="19CA8DDF" w:rsidR="00000A7F" w:rsidRPr="00B117E5" w:rsidRDefault="007D63F4" w:rsidP="00000A7F">
      <w:pPr>
        <w:ind w:firstLine="0"/>
        <w:jc w:val="center"/>
      </w:pPr>
      <w:r>
        <w:t xml:space="preserve">O IMPACTO DA LEI 13.602/2018 SOBRE AS </w:t>
      </w:r>
      <w:r w:rsidR="0045709B">
        <w:t>TRANSFERÊNCIAS VOLUNTÁRIAS</w:t>
      </w:r>
      <w:r>
        <w:t xml:space="preserve"> </w:t>
      </w:r>
    </w:p>
    <w:p w14:paraId="0FBE2155" w14:textId="77777777" w:rsidR="00000A7F" w:rsidRDefault="00000A7F" w:rsidP="00000A7F">
      <w:pPr>
        <w:ind w:firstLine="0"/>
      </w:pPr>
    </w:p>
    <w:p w14:paraId="0C1172D4" w14:textId="77777777" w:rsidR="00000A7F" w:rsidRDefault="00000A7F" w:rsidP="00000A7F">
      <w:pPr>
        <w:ind w:firstLine="0"/>
      </w:pPr>
    </w:p>
    <w:p w14:paraId="146EE44B" w14:textId="77777777" w:rsidR="00000A7F" w:rsidRDefault="00000A7F" w:rsidP="00000A7F">
      <w:pPr>
        <w:ind w:firstLine="0"/>
      </w:pPr>
    </w:p>
    <w:p w14:paraId="7D38CA57" w14:textId="77777777" w:rsidR="00000A7F" w:rsidRDefault="00000A7F" w:rsidP="00000A7F">
      <w:pPr>
        <w:ind w:firstLine="0"/>
      </w:pPr>
    </w:p>
    <w:p w14:paraId="06B7552F" w14:textId="77777777" w:rsidR="00000A7F" w:rsidRDefault="00000A7F" w:rsidP="00000A7F">
      <w:pPr>
        <w:ind w:firstLine="0"/>
      </w:pPr>
    </w:p>
    <w:p w14:paraId="5320F3DB" w14:textId="5F4B84CB" w:rsidR="00000A7F" w:rsidRDefault="00000A7F" w:rsidP="00000A7F">
      <w:pPr>
        <w:ind w:firstLine="0"/>
        <w:jc w:val="right"/>
      </w:pPr>
    </w:p>
    <w:p w14:paraId="2763A457" w14:textId="376AFEC7" w:rsidR="00000A7F" w:rsidRDefault="00000A7F" w:rsidP="00000A7F">
      <w:pPr>
        <w:ind w:firstLine="0"/>
        <w:jc w:val="right"/>
      </w:pPr>
    </w:p>
    <w:p w14:paraId="3C06B144" w14:textId="77777777" w:rsidR="00000A7F" w:rsidRDefault="00000A7F" w:rsidP="00000A7F">
      <w:pPr>
        <w:ind w:firstLine="0"/>
      </w:pPr>
    </w:p>
    <w:p w14:paraId="67CB53B8" w14:textId="77777777" w:rsidR="00000A7F" w:rsidRDefault="00000A7F" w:rsidP="00000A7F">
      <w:pPr>
        <w:ind w:firstLine="0"/>
      </w:pPr>
    </w:p>
    <w:p w14:paraId="7E57A7C3" w14:textId="77777777" w:rsidR="00000A7F" w:rsidRDefault="00000A7F" w:rsidP="00000A7F">
      <w:pPr>
        <w:ind w:firstLine="0"/>
      </w:pPr>
    </w:p>
    <w:p w14:paraId="03CBCF97" w14:textId="77777777" w:rsidR="00000A7F" w:rsidRDefault="00000A7F" w:rsidP="00000A7F">
      <w:pPr>
        <w:ind w:firstLine="0"/>
      </w:pPr>
    </w:p>
    <w:p w14:paraId="3CE78F20" w14:textId="581B48E9" w:rsidR="00000A7F" w:rsidRDefault="00000A7F" w:rsidP="00000A7F">
      <w:pPr>
        <w:ind w:firstLine="0"/>
      </w:pPr>
    </w:p>
    <w:p w14:paraId="29C904FD" w14:textId="292C9BA4" w:rsidR="009F3C45" w:rsidRDefault="009F3C45" w:rsidP="00000A7F">
      <w:pPr>
        <w:ind w:firstLine="0"/>
      </w:pPr>
    </w:p>
    <w:p w14:paraId="1A6A8C1A" w14:textId="1FD1186E" w:rsidR="00000A7F" w:rsidRDefault="00000A7F" w:rsidP="00000A7F">
      <w:pPr>
        <w:ind w:firstLine="0"/>
      </w:pPr>
    </w:p>
    <w:p w14:paraId="048D943F" w14:textId="77777777" w:rsidR="00000A7F" w:rsidRDefault="00000A7F" w:rsidP="00000A7F">
      <w:pPr>
        <w:ind w:firstLine="0"/>
      </w:pPr>
    </w:p>
    <w:p w14:paraId="1E558339" w14:textId="77777777" w:rsidR="00CF659C" w:rsidRDefault="00CF659C" w:rsidP="00CF659C">
      <w:pPr>
        <w:ind w:firstLine="0"/>
        <w:jc w:val="center"/>
      </w:pPr>
      <w:r>
        <w:t>SÃO PAULO</w:t>
      </w:r>
    </w:p>
    <w:p w14:paraId="3F447C78" w14:textId="3078D4AC" w:rsidR="00000A7F" w:rsidRDefault="00000A7F" w:rsidP="00000A7F">
      <w:pPr>
        <w:ind w:firstLine="0"/>
        <w:jc w:val="center"/>
      </w:pPr>
      <w:r w:rsidRPr="00000A7F">
        <w:rPr>
          <w:color w:val="000000" w:themeColor="text1"/>
        </w:rPr>
        <w:t>2020</w:t>
      </w:r>
      <w:r>
        <w:br w:type="page"/>
      </w:r>
    </w:p>
    <w:p w14:paraId="037D6F9C" w14:textId="77777777" w:rsidR="00000A7F" w:rsidRDefault="00000A7F" w:rsidP="00000A7F">
      <w:pPr>
        <w:ind w:firstLine="0"/>
        <w:jc w:val="center"/>
      </w:pPr>
      <w:r>
        <w:lastRenderedPageBreak/>
        <w:t>LUCIANO NURNBERG PERES</w:t>
      </w:r>
    </w:p>
    <w:p w14:paraId="7E2F67F8" w14:textId="77777777" w:rsidR="00000A7F" w:rsidRDefault="00000A7F" w:rsidP="00000A7F">
      <w:pPr>
        <w:ind w:firstLine="0"/>
        <w:jc w:val="center"/>
      </w:pPr>
    </w:p>
    <w:p w14:paraId="7BB48D0D" w14:textId="77777777" w:rsidR="00000A7F" w:rsidRDefault="00000A7F" w:rsidP="00000A7F">
      <w:pPr>
        <w:ind w:firstLine="0"/>
        <w:jc w:val="center"/>
      </w:pPr>
    </w:p>
    <w:p w14:paraId="58942495" w14:textId="77777777" w:rsidR="00000A7F" w:rsidRDefault="00000A7F" w:rsidP="00000A7F">
      <w:pPr>
        <w:ind w:firstLine="0"/>
        <w:jc w:val="center"/>
      </w:pPr>
    </w:p>
    <w:p w14:paraId="464C4185" w14:textId="77777777" w:rsidR="00000A7F" w:rsidRDefault="00000A7F" w:rsidP="00000A7F">
      <w:pPr>
        <w:ind w:firstLine="0"/>
        <w:jc w:val="center"/>
      </w:pPr>
    </w:p>
    <w:p w14:paraId="767A598A" w14:textId="77777777" w:rsidR="00000A7F" w:rsidRDefault="00000A7F" w:rsidP="00000A7F">
      <w:pPr>
        <w:ind w:firstLine="0"/>
        <w:jc w:val="center"/>
      </w:pPr>
    </w:p>
    <w:p w14:paraId="4EC9F53F" w14:textId="77777777" w:rsidR="00000A7F" w:rsidRDefault="00000A7F" w:rsidP="00000A7F">
      <w:pPr>
        <w:ind w:firstLine="0"/>
        <w:jc w:val="center"/>
      </w:pPr>
    </w:p>
    <w:p w14:paraId="653AE91A" w14:textId="125A4003" w:rsidR="00000A7F" w:rsidRPr="00B117E5" w:rsidRDefault="007D63F4" w:rsidP="00000A7F">
      <w:pPr>
        <w:ind w:firstLine="0"/>
        <w:jc w:val="center"/>
      </w:pPr>
      <w:r>
        <w:t>O IMPACTO DA LEI 13.602/2018 SOBRE AS TRANSFERÊNCIAS VOLUNTÁRIAS</w:t>
      </w:r>
    </w:p>
    <w:p w14:paraId="7CD8000C" w14:textId="77777777" w:rsidR="00000A7F" w:rsidRDefault="00000A7F" w:rsidP="00000A7F">
      <w:pPr>
        <w:ind w:firstLine="0"/>
        <w:jc w:val="center"/>
      </w:pPr>
    </w:p>
    <w:p w14:paraId="0586C8BF" w14:textId="66B5AED5" w:rsidR="00000A7F" w:rsidRDefault="00000A7F" w:rsidP="00000A7F">
      <w:pPr>
        <w:ind w:firstLine="0"/>
        <w:jc w:val="center"/>
      </w:pPr>
    </w:p>
    <w:p w14:paraId="63010F26" w14:textId="77777777" w:rsidR="009F3C45" w:rsidRDefault="009F3C45" w:rsidP="00000A7F">
      <w:pPr>
        <w:ind w:firstLine="0"/>
        <w:jc w:val="center"/>
      </w:pPr>
    </w:p>
    <w:p w14:paraId="1ECFE895" w14:textId="77777777" w:rsidR="00000A7F" w:rsidRDefault="00000A7F" w:rsidP="00000A7F">
      <w:pPr>
        <w:ind w:firstLine="0"/>
        <w:jc w:val="center"/>
      </w:pPr>
    </w:p>
    <w:p w14:paraId="291A6184" w14:textId="77777777" w:rsidR="00000A7F" w:rsidRDefault="00000A7F" w:rsidP="00000A7F">
      <w:pPr>
        <w:ind w:firstLine="0"/>
        <w:jc w:val="center"/>
      </w:pPr>
    </w:p>
    <w:p w14:paraId="741BC012" w14:textId="06D5FF48" w:rsidR="00000A7F" w:rsidRDefault="00000A7F" w:rsidP="00000A7F">
      <w:pPr>
        <w:spacing w:line="240" w:lineRule="auto"/>
        <w:ind w:left="4536" w:firstLine="0"/>
      </w:pPr>
      <w:r>
        <w:t xml:space="preserve">Trabalho apresentado como requisito parcial para a aprovação na disciplina </w:t>
      </w:r>
      <w:r w:rsidR="009F3C45" w:rsidRPr="009F3C45">
        <w:t xml:space="preserve">FLS6441 - </w:t>
      </w:r>
      <w:proofErr w:type="spellStart"/>
      <w:r w:rsidR="009F3C45" w:rsidRPr="009F3C45">
        <w:t>Quantitative</w:t>
      </w:r>
      <w:proofErr w:type="spellEnd"/>
      <w:r w:rsidR="009F3C45" w:rsidRPr="009F3C45">
        <w:t xml:space="preserve"> </w:t>
      </w:r>
      <w:proofErr w:type="spellStart"/>
      <w:r w:rsidR="009F3C45" w:rsidRPr="009F3C45">
        <w:t>Methods</w:t>
      </w:r>
      <w:proofErr w:type="spellEnd"/>
      <w:r w:rsidR="009F3C45" w:rsidRPr="009F3C45">
        <w:t xml:space="preserve"> III - </w:t>
      </w:r>
      <w:proofErr w:type="spellStart"/>
      <w:r w:rsidR="009F3C45" w:rsidRPr="009F3C45">
        <w:t>Explanation</w:t>
      </w:r>
      <w:proofErr w:type="spellEnd"/>
      <w:r w:rsidR="009F3C45" w:rsidRPr="009F3C45">
        <w:t xml:space="preserve"> </w:t>
      </w:r>
      <w:proofErr w:type="spellStart"/>
      <w:r w:rsidR="009F3C45" w:rsidRPr="009F3C45">
        <w:t>and</w:t>
      </w:r>
      <w:proofErr w:type="spellEnd"/>
      <w:r w:rsidR="009F3C45" w:rsidRPr="009F3C45">
        <w:t xml:space="preserve"> </w:t>
      </w:r>
      <w:proofErr w:type="spellStart"/>
      <w:r w:rsidR="009F3C45" w:rsidRPr="009F3C45">
        <w:t>Causation</w:t>
      </w:r>
      <w:proofErr w:type="spellEnd"/>
    </w:p>
    <w:p w14:paraId="67A45870" w14:textId="77777777" w:rsidR="00000A7F" w:rsidRDefault="00000A7F" w:rsidP="00000A7F">
      <w:pPr>
        <w:ind w:firstLine="0"/>
        <w:jc w:val="center"/>
      </w:pPr>
    </w:p>
    <w:p w14:paraId="26E1C217" w14:textId="77777777" w:rsidR="00000A7F" w:rsidRDefault="00000A7F" w:rsidP="00000A7F">
      <w:pPr>
        <w:ind w:firstLine="0"/>
        <w:jc w:val="center"/>
      </w:pPr>
    </w:p>
    <w:p w14:paraId="3DDFBA6E" w14:textId="77777777" w:rsidR="00000A7F" w:rsidRDefault="00000A7F" w:rsidP="00000A7F">
      <w:pPr>
        <w:ind w:firstLine="0"/>
        <w:jc w:val="center"/>
      </w:pPr>
    </w:p>
    <w:p w14:paraId="7E92B4B1" w14:textId="535D8027" w:rsidR="00000A7F" w:rsidRDefault="00000A7F" w:rsidP="00000A7F">
      <w:pPr>
        <w:ind w:left="4536" w:firstLine="0"/>
      </w:pPr>
      <w:r>
        <w:t>Professor:</w:t>
      </w:r>
    </w:p>
    <w:p w14:paraId="5D73E01F" w14:textId="6F9BFBDC" w:rsidR="00000A7F" w:rsidRDefault="009F3C45" w:rsidP="00000A7F">
      <w:pPr>
        <w:ind w:left="4536" w:firstLine="0"/>
      </w:pPr>
      <w:r w:rsidRPr="009F3C45">
        <w:t>Jonathan Peter Phillips</w:t>
      </w:r>
    </w:p>
    <w:p w14:paraId="0BCBFABF" w14:textId="77777777" w:rsidR="00000A7F" w:rsidRDefault="00000A7F" w:rsidP="00000A7F">
      <w:pPr>
        <w:ind w:firstLine="0"/>
        <w:jc w:val="center"/>
      </w:pPr>
    </w:p>
    <w:p w14:paraId="2B5F2696" w14:textId="77777777" w:rsidR="00000A7F" w:rsidRDefault="00000A7F" w:rsidP="00000A7F">
      <w:pPr>
        <w:ind w:firstLine="0"/>
        <w:jc w:val="center"/>
      </w:pPr>
    </w:p>
    <w:p w14:paraId="7C5820FB" w14:textId="77777777" w:rsidR="00000A7F" w:rsidRDefault="00000A7F" w:rsidP="00000A7F">
      <w:pPr>
        <w:ind w:firstLine="0"/>
        <w:jc w:val="center"/>
      </w:pPr>
    </w:p>
    <w:p w14:paraId="5BF62AE1" w14:textId="4E1A1FEE" w:rsidR="00000A7F" w:rsidRDefault="00000A7F" w:rsidP="00000A7F">
      <w:pPr>
        <w:ind w:firstLine="0"/>
        <w:jc w:val="center"/>
      </w:pPr>
    </w:p>
    <w:p w14:paraId="5B47D4C9" w14:textId="6DBB0F5D" w:rsidR="009F3C45" w:rsidRDefault="009F3C45" w:rsidP="00000A7F">
      <w:pPr>
        <w:ind w:firstLine="0"/>
        <w:jc w:val="center"/>
      </w:pPr>
    </w:p>
    <w:p w14:paraId="0DD7D095" w14:textId="77777777" w:rsidR="00000A7F" w:rsidRDefault="00000A7F" w:rsidP="00000A7F">
      <w:pPr>
        <w:ind w:firstLine="0"/>
        <w:jc w:val="center"/>
      </w:pPr>
    </w:p>
    <w:p w14:paraId="2B69AB9D" w14:textId="77777777" w:rsidR="00000A7F" w:rsidRDefault="00000A7F" w:rsidP="00000A7F">
      <w:pPr>
        <w:ind w:firstLine="0"/>
        <w:jc w:val="center"/>
      </w:pPr>
    </w:p>
    <w:p w14:paraId="0FE96474" w14:textId="77777777" w:rsidR="00000A7F" w:rsidRDefault="00000A7F" w:rsidP="00000A7F">
      <w:pPr>
        <w:ind w:firstLine="0"/>
        <w:jc w:val="center"/>
      </w:pPr>
    </w:p>
    <w:p w14:paraId="07BF7562" w14:textId="77777777" w:rsidR="00000A7F" w:rsidRDefault="00000A7F" w:rsidP="00000A7F">
      <w:pPr>
        <w:ind w:firstLine="0"/>
        <w:jc w:val="center"/>
      </w:pPr>
    </w:p>
    <w:p w14:paraId="5706EFC4" w14:textId="77777777" w:rsidR="00000A7F" w:rsidRDefault="00000A7F" w:rsidP="00000A7F">
      <w:pPr>
        <w:ind w:firstLine="0"/>
        <w:jc w:val="center"/>
      </w:pPr>
    </w:p>
    <w:p w14:paraId="402910C3" w14:textId="77777777" w:rsidR="00000A7F" w:rsidRDefault="00000A7F" w:rsidP="00000A7F">
      <w:pPr>
        <w:ind w:firstLine="0"/>
        <w:jc w:val="center"/>
      </w:pPr>
    </w:p>
    <w:p w14:paraId="0274EB86" w14:textId="77777777" w:rsidR="00000A7F" w:rsidRDefault="00000A7F" w:rsidP="00000A7F">
      <w:pPr>
        <w:ind w:firstLine="0"/>
        <w:jc w:val="center"/>
      </w:pPr>
      <w:r>
        <w:t>SÃO PAULO</w:t>
      </w:r>
    </w:p>
    <w:p w14:paraId="08D2A0C9" w14:textId="77777777" w:rsidR="00000A7F" w:rsidRDefault="00000A7F" w:rsidP="00000A7F">
      <w:pPr>
        <w:ind w:firstLine="0"/>
        <w:jc w:val="center"/>
        <w:rPr>
          <w:color w:val="000000" w:themeColor="text1"/>
        </w:rPr>
        <w:sectPr w:rsidR="00000A7F" w:rsidSect="005C40E2">
          <w:headerReference w:type="default" r:id="rId8"/>
          <w:footerReference w:type="default" r:id="rId9"/>
          <w:headerReference w:type="first" r:id="rId10"/>
          <w:pgSz w:w="11906" w:h="16838"/>
          <w:pgMar w:top="1701" w:right="1134" w:bottom="1134" w:left="1701" w:header="709" w:footer="709" w:gutter="0"/>
          <w:cols w:space="708"/>
          <w:titlePg/>
          <w:docGrid w:linePitch="360"/>
        </w:sectPr>
      </w:pPr>
      <w:r w:rsidRPr="00000A7F">
        <w:rPr>
          <w:color w:val="000000" w:themeColor="text1"/>
        </w:rPr>
        <w:t>2020</w:t>
      </w:r>
    </w:p>
    <w:p w14:paraId="443C04A2" w14:textId="1928D1E4" w:rsidR="00BB0A8E" w:rsidRDefault="00E211B6" w:rsidP="00FB2988">
      <w:pPr>
        <w:pStyle w:val="Ttulo1"/>
      </w:pPr>
      <w:r w:rsidRPr="00790116">
        <w:lastRenderedPageBreak/>
        <w:t>INTRODUÇÃO</w:t>
      </w:r>
      <w:bookmarkEnd w:id="0"/>
    </w:p>
    <w:p w14:paraId="4E08DE1C" w14:textId="453DC08C" w:rsidR="005C40E2" w:rsidRDefault="005C40E2" w:rsidP="005C40E2"/>
    <w:p w14:paraId="61679AF1" w14:textId="77777777" w:rsidR="007D63F4" w:rsidRDefault="007D63F4" w:rsidP="005C40E2">
      <w:r>
        <w:t>Os governos possuem um importante papel relacionado com o controle das finanças públicas, uma vez que os recursos auferidos são em sua maioria provenientes dos cidadãos, através da cobrança de tributos e, portanto, devem ser utilizados de forma eficaz para prover bens e serviços em prol destes cidadãos.</w:t>
      </w:r>
    </w:p>
    <w:p w14:paraId="78584DD9" w14:textId="610AF5BF" w:rsidR="009F3C45" w:rsidRDefault="007D63F4" w:rsidP="005C40E2">
      <w:r>
        <w:t>Para promover um adequado uso dos recursos públicos existem órgãos de controle, tanto internos quanto externos. Outra fonte importante para o acompanhamento da utilização dos recursos públicos é o controle social, em que os cidadãos possuem o direito de obter informações acerca do setor público e cobrar dos governos uma utilização eficaz dos recursos.</w:t>
      </w:r>
    </w:p>
    <w:p w14:paraId="7C828DDB" w14:textId="6F9C1A0B" w:rsidR="007D63F4" w:rsidRDefault="007D63F4" w:rsidP="005C40E2">
      <w:r>
        <w:t>Embora estas diferentes formas de controle sejam úteis para</w:t>
      </w:r>
      <w:r w:rsidR="00286E38">
        <w:t xml:space="preserve"> promover a correta utilização dos recursos públicos, as leis são centrais para a definição de como os recursos serão arrecadados e utilizados. É através das leis que os controles formais analisam se os recursos são utilizados de forma apropriada ou não.</w:t>
      </w:r>
    </w:p>
    <w:p w14:paraId="52A009D0" w14:textId="01927505" w:rsidR="00286E38" w:rsidRDefault="00CE7CC5" w:rsidP="005C40E2">
      <w:r>
        <w:t>A Lei de Diretrizes Orçamentárias</w:t>
      </w:r>
      <w:r w:rsidR="00E1431C">
        <w:t xml:space="preserve"> (LDO)</w:t>
      </w:r>
      <w:r>
        <w:t xml:space="preserve"> define anualmente diversas orientações para o estabelecimento dos orçamentos anuais, entre elas estão as prioridades do governo, as alterações na legislação tributária e as formas de realização de tra</w:t>
      </w:r>
      <w:r w:rsidR="00E1431C">
        <w:t>ns</w:t>
      </w:r>
      <w:r>
        <w:t>ferências.</w:t>
      </w:r>
      <w:r w:rsidR="00E1431C">
        <w:t xml:space="preserve"> Em particular, a </w:t>
      </w:r>
      <w:r w:rsidR="00E1431C" w:rsidRPr="00E1431C">
        <w:t>Lei nº 13.602</w:t>
      </w:r>
      <w:r w:rsidR="00E1431C">
        <w:t xml:space="preserve">/2018, que modificou a </w:t>
      </w:r>
      <w:r w:rsidR="00E1431C" w:rsidRPr="00E1431C">
        <w:t xml:space="preserve">Lei 13.473/2017 </w:t>
      </w:r>
      <w:r w:rsidR="00E1431C">
        <w:t xml:space="preserve">(que é a </w:t>
      </w:r>
      <w:r w:rsidR="00E1431C" w:rsidRPr="00E1431C">
        <w:t xml:space="preserve">LDO </w:t>
      </w:r>
      <w:r w:rsidR="00E1431C">
        <w:t xml:space="preserve">para o exercício de </w:t>
      </w:r>
      <w:r w:rsidR="00E1431C" w:rsidRPr="00E1431C">
        <w:t>201</w:t>
      </w:r>
      <w:r w:rsidR="00E1431C">
        <w:t xml:space="preserve">8) apresentou uma alteração na forma de realização das transferências voluntárias para os </w:t>
      </w:r>
      <w:r w:rsidR="00E1431C" w:rsidRPr="00E1431C">
        <w:t>municípios de até 50 mil habitantes</w:t>
      </w:r>
      <w:r w:rsidR="00E1431C">
        <w:t xml:space="preserve">, os quais </w:t>
      </w:r>
      <w:r w:rsidR="00E1431C" w:rsidRPr="00E1431C">
        <w:t xml:space="preserve">não </w:t>
      </w:r>
      <w:r w:rsidR="00E1431C">
        <w:t xml:space="preserve">serão </w:t>
      </w:r>
      <w:r w:rsidR="00E1431C" w:rsidRPr="00E1431C">
        <w:t>imped</w:t>
      </w:r>
      <w:r w:rsidR="00E1431C">
        <w:t xml:space="preserve">idos de realizar </w:t>
      </w:r>
      <w:r w:rsidR="00E1431C" w:rsidRPr="00E1431C">
        <w:t>a assinatura de convênios e instrumentos congêneres</w:t>
      </w:r>
      <w:r w:rsidR="00E1431C">
        <w:t xml:space="preserve"> mesmo que estejam inadimplentes </w:t>
      </w:r>
      <w:r w:rsidR="00E1431C" w:rsidRPr="00E1431C">
        <w:t>no Serviço Auxiliar de Informação para Transferências Voluntárias</w:t>
      </w:r>
      <w:r w:rsidR="00E1431C">
        <w:t xml:space="preserve"> (CAUC).</w:t>
      </w:r>
    </w:p>
    <w:p w14:paraId="6A9FE8AD" w14:textId="0B631F11" w:rsidR="00E1431C" w:rsidRDefault="00E1431C" w:rsidP="005C40E2">
      <w:r>
        <w:t xml:space="preserve">Por outro lado, o governo federal não irá realizar </w:t>
      </w:r>
      <w:r w:rsidRPr="00E1431C">
        <w:t xml:space="preserve">a transferência dos recursos financeiros </w:t>
      </w:r>
      <w:r>
        <w:t xml:space="preserve">até que </w:t>
      </w:r>
      <w:r w:rsidR="00BB46F7">
        <w:t xml:space="preserve">a situação de inadimplência no CAUC seja </w:t>
      </w:r>
      <w:r w:rsidRPr="00E1431C">
        <w:t>resolvida</w:t>
      </w:r>
      <w:r w:rsidR="00BB46F7">
        <w:t>. Este fator levanta a dúvida em relação à alteração na LDO ser um mecanismo eficaz de incentivo aos pequenos municípios (abaixo de 50 mil habitantes) em relação a assinatura de nova convênios e posterior resolução da inadimplência para conseguir receber os recursos financeiros do governo federal.</w:t>
      </w:r>
    </w:p>
    <w:p w14:paraId="74AB75FC" w14:textId="168F4395" w:rsidR="00BB46F7" w:rsidRDefault="00BB46F7" w:rsidP="005C40E2">
      <w:r>
        <w:t>De acordo com a problemática exposta, este trabalho tem o objetivo de investigar se a alteração na LDO de 2018</w:t>
      </w:r>
      <w:r w:rsidR="007B03A6">
        <w:t>,</w:t>
      </w:r>
      <w:r>
        <w:t xml:space="preserve"> </w:t>
      </w:r>
      <w:r w:rsidR="007B03A6">
        <w:t xml:space="preserve">que permite municípios de até 50 mil habitantes assinarem </w:t>
      </w:r>
      <w:r w:rsidR="007B03A6" w:rsidRPr="007B03A6">
        <w:t>convênios e instrumentos congêneres</w:t>
      </w:r>
      <w:r w:rsidR="00AB797F">
        <w:t xml:space="preserve"> mesmo inadimplentes no CAUC</w:t>
      </w:r>
      <w:r w:rsidR="007B03A6">
        <w:t xml:space="preserve">, impactou positivamente </w:t>
      </w:r>
      <w:r w:rsidR="0043511B">
        <w:t>a proporção d</w:t>
      </w:r>
      <w:r w:rsidR="007B03A6">
        <w:t xml:space="preserve">o recebimento de recursos financeiros no ano </w:t>
      </w:r>
      <w:r w:rsidR="00AB797F">
        <w:t>seguinte à vigência da LDO</w:t>
      </w:r>
      <w:r w:rsidR="0043511B">
        <w:t xml:space="preserve"> destes municípios.</w:t>
      </w:r>
    </w:p>
    <w:p w14:paraId="1B203936" w14:textId="3E3F8484" w:rsidR="00AB797F" w:rsidRDefault="00AB797F" w:rsidP="005C40E2"/>
    <w:p w14:paraId="25CB82C3" w14:textId="0B643F45" w:rsidR="00AB797F" w:rsidRDefault="00AB797F" w:rsidP="005C40E2"/>
    <w:p w14:paraId="781896B3" w14:textId="75D7A58C" w:rsidR="00AB797F" w:rsidRDefault="00AB797F" w:rsidP="00AB797F">
      <w:pPr>
        <w:pStyle w:val="Ttulo1"/>
      </w:pPr>
      <w:r>
        <w:lastRenderedPageBreak/>
        <w:t>REFERENCIAL TEÓRICO</w:t>
      </w:r>
    </w:p>
    <w:p w14:paraId="1523D4EA" w14:textId="77777777" w:rsidR="005321BB" w:rsidRDefault="005321BB" w:rsidP="005C40E2"/>
    <w:p w14:paraId="0091622D" w14:textId="71052589" w:rsidR="00AB797F" w:rsidRDefault="00CF659C" w:rsidP="00C62DB5">
      <w:pPr>
        <w:pStyle w:val="Ttulo2"/>
      </w:pPr>
      <w:r>
        <w:t>PROCESSO ORÇAMENTÁRIO</w:t>
      </w:r>
    </w:p>
    <w:p w14:paraId="709CE6FF" w14:textId="6D7DFBF7" w:rsidR="00C62DB5" w:rsidRDefault="00C62DB5" w:rsidP="00C62DB5">
      <w:pPr>
        <w:pStyle w:val="SemEspaamento"/>
      </w:pPr>
    </w:p>
    <w:p w14:paraId="03D0B46A" w14:textId="1EDEE6F3" w:rsidR="00A57E55" w:rsidRDefault="00A57E55" w:rsidP="00A57E55">
      <w:pPr>
        <w:rPr>
          <w:rFonts w:cs="Times New Roman"/>
          <w:szCs w:val="24"/>
        </w:rPr>
      </w:pPr>
      <w:r>
        <w:rPr>
          <w:rFonts w:cs="Times New Roman"/>
          <w:szCs w:val="24"/>
        </w:rPr>
        <w:t xml:space="preserve">O processo orçamentário brasileiro envolve três principais instrumentos: o Plano Plurianual (PPA), a Lei de Diretrizes Orçamentárias (LDO) e a Lei Orçamentária Anual (LOA). O PPA é um instrumento de planejamento de médio prazo (4 anos). De acordo com </w:t>
      </w:r>
      <w:r>
        <w:rPr>
          <w:rFonts w:cs="Times New Roman"/>
          <w:szCs w:val="24"/>
        </w:rPr>
        <w:fldChar w:fldCharType="begin" w:fldLock="1"/>
      </w:r>
      <w:r w:rsidR="00FB2988">
        <w:rPr>
          <w:rFonts w:cs="Times New Roman"/>
          <w:szCs w:val="24"/>
        </w:rPr>
        <w:instrText>ADDIN CSL_CITATION {"citationItems":[{"id":"ITEM-1","itemData":{"author":[{"dropping-particle":"","family":"BRASIL","given":"","non-dropping-particle":"","parse-names":false,"suffix":""}],"id":"ITEM-1","issued":{"date-parts":[["1988"]]},"title":"Constituição da república federativa do brasil de 1988","type":"legislation"},"uris":["http://www.mendeley.com/documents/?uuid=38f70734-cbca-411a-9360-776948c78a8c"]}],"mendeley":{"formattedCitation":"(BRASIL, 1988)","manualFormatting":"Brasil (1988, art. 165, §1º)","plainTextFormattedCitation":"(BRASIL, 1988)","previouslyFormattedCitation":"(BRASIL, 1988)"},"properties":{"noteIndex":0},"schema":"https://github.com/citation-style-language/schema/raw/master/csl-citation.json"}</w:instrText>
      </w:r>
      <w:r>
        <w:rPr>
          <w:rFonts w:cs="Times New Roman"/>
          <w:szCs w:val="24"/>
        </w:rPr>
        <w:fldChar w:fldCharType="separate"/>
      </w:r>
      <w:r w:rsidRPr="00A57E55">
        <w:rPr>
          <w:rFonts w:cs="Times New Roman"/>
          <w:noProof/>
          <w:szCs w:val="24"/>
        </w:rPr>
        <w:t>B</w:t>
      </w:r>
      <w:r>
        <w:rPr>
          <w:rFonts w:cs="Times New Roman"/>
          <w:noProof/>
          <w:szCs w:val="24"/>
        </w:rPr>
        <w:t>rasil</w:t>
      </w:r>
      <w:r w:rsidRPr="00A57E55">
        <w:rPr>
          <w:rFonts w:cs="Times New Roman"/>
          <w:noProof/>
          <w:szCs w:val="24"/>
        </w:rPr>
        <w:t xml:space="preserve"> </w:t>
      </w:r>
      <w:r>
        <w:rPr>
          <w:rFonts w:cs="Times New Roman"/>
          <w:noProof/>
          <w:szCs w:val="24"/>
        </w:rPr>
        <w:t>(</w:t>
      </w:r>
      <w:r w:rsidRPr="00A57E55">
        <w:rPr>
          <w:rFonts w:cs="Times New Roman"/>
          <w:noProof/>
          <w:szCs w:val="24"/>
        </w:rPr>
        <w:t>1988</w:t>
      </w:r>
      <w:r>
        <w:rPr>
          <w:rFonts w:cs="Times New Roman"/>
          <w:noProof/>
          <w:szCs w:val="24"/>
        </w:rPr>
        <w:t xml:space="preserve">, art. 165, </w:t>
      </w:r>
      <w:r w:rsidRPr="00A57E55">
        <w:rPr>
          <w:rFonts w:cs="Times New Roman"/>
          <w:noProof/>
          <w:color w:val="000000"/>
          <w:shd w:val="clear" w:color="auto" w:fill="FFFFFF"/>
        </w:rPr>
        <w:t>§1º</w:t>
      </w:r>
      <w:r w:rsidRPr="00A57E55">
        <w:rPr>
          <w:rFonts w:cs="Times New Roman"/>
          <w:noProof/>
          <w:szCs w:val="24"/>
        </w:rPr>
        <w:t>)</w:t>
      </w:r>
      <w:r>
        <w:rPr>
          <w:rFonts w:cs="Times New Roman"/>
          <w:szCs w:val="24"/>
        </w:rPr>
        <w:fldChar w:fldCharType="end"/>
      </w:r>
      <w:r>
        <w:rPr>
          <w:rFonts w:cs="Times New Roman"/>
          <w:szCs w:val="24"/>
        </w:rPr>
        <w:t xml:space="preserve"> no PPA deve ser estabelecido</w:t>
      </w:r>
      <w:r w:rsidRPr="00A57E55">
        <w:rPr>
          <w:rFonts w:cs="Times New Roman"/>
          <w:szCs w:val="24"/>
        </w:rPr>
        <w:t xml:space="preserve"> </w:t>
      </w:r>
      <w:r>
        <w:rPr>
          <w:rFonts w:cs="Times New Roman"/>
          <w:szCs w:val="24"/>
        </w:rPr>
        <w:t>“</w:t>
      </w:r>
      <w:r w:rsidRPr="00A57E55">
        <w:rPr>
          <w:rFonts w:cs="Times New Roman"/>
          <w:szCs w:val="24"/>
        </w:rPr>
        <w:t>de forma regionalizada, as diretrizes, objetivos e metas da administração pública federal para as despesas de capital e outras delas decorrentes e para as relativas aos programas de duração continuada</w:t>
      </w:r>
      <w:r>
        <w:rPr>
          <w:rFonts w:cs="Times New Roman"/>
          <w:szCs w:val="24"/>
        </w:rPr>
        <w:t>”</w:t>
      </w:r>
      <w:r w:rsidRPr="00A57E55">
        <w:rPr>
          <w:rFonts w:cs="Times New Roman"/>
          <w:szCs w:val="24"/>
        </w:rPr>
        <w:t>.</w:t>
      </w:r>
      <w:r>
        <w:rPr>
          <w:rFonts w:cs="Times New Roman"/>
          <w:szCs w:val="24"/>
        </w:rPr>
        <w:t xml:space="preserve"> </w:t>
      </w:r>
      <w:r w:rsidRPr="00A57E55">
        <w:rPr>
          <w:rFonts w:cs="Times New Roman"/>
          <w:szCs w:val="24"/>
        </w:rPr>
        <w:t>O PPA é elaborado no 1º ano de mandato do chefe do executivo, porém, sua vigência só começa a partir do segundo ano e vai até o primeiro ano do mandato seguinte.</w:t>
      </w:r>
    </w:p>
    <w:p w14:paraId="23A9E786" w14:textId="05162EB4" w:rsidR="00A57E55" w:rsidRDefault="00A57E55" w:rsidP="00A57E55">
      <w:pPr>
        <w:rPr>
          <w:rFonts w:cs="Times New Roman"/>
          <w:szCs w:val="24"/>
        </w:rPr>
      </w:pPr>
      <w:r>
        <w:rPr>
          <w:rFonts w:cs="Times New Roman"/>
          <w:szCs w:val="24"/>
        </w:rPr>
        <w:t>A Lei de Diretrizes Orçamentárias foi inserida no processo de planejamento e orçamentação pela Constituição de 1988</w:t>
      </w:r>
      <w:r w:rsidR="00FB2988">
        <w:rPr>
          <w:rFonts w:cs="Times New Roman"/>
          <w:szCs w:val="24"/>
        </w:rPr>
        <w:t xml:space="preserve"> e a partir do ano de 2000 é regida pela Lei de Responsabilidade Fiscal </w:t>
      </w:r>
      <w:r w:rsidR="00FB2988">
        <w:rPr>
          <w:rFonts w:cs="Times New Roman"/>
          <w:szCs w:val="24"/>
        </w:rPr>
        <w:fldChar w:fldCharType="begin" w:fldLock="1"/>
      </w:r>
      <w:r w:rsidR="00FB2988">
        <w:rPr>
          <w:rFonts w:cs="Times New Roman"/>
          <w:szCs w:val="24"/>
        </w:rPr>
        <w:instrText>ADDIN CSL_CITATION {"citationItems":[{"id":"ITEM-1","itemData":{"author":[{"dropping-particle":"","family":"Giacomoni","given":"James","non-dropping-particle":"","parse-names":false,"suffix":""}],"edition":"17ª","id":"ITEM-1","issued":{"date-parts":[["2017"]]},"publisher":"Atlas","publisher-place":"São Paulo","title":"Orçamento público","type":"book"},"uris":["http://www.mendeley.com/documents/?uuid=307a9e23-b9a9-493e-9e5f-fadb9416171d"]}],"mendeley":{"formattedCitation":"(Giacomoni, 2017)","plainTextFormattedCitation":"(Giacomoni, 2017)","previouslyFormattedCitation":"(Giacomoni, 2017)"},"properties":{"noteIndex":0},"schema":"https://github.com/citation-style-language/schema/raw/master/csl-citation.json"}</w:instrText>
      </w:r>
      <w:r w:rsidR="00FB2988">
        <w:rPr>
          <w:rFonts w:cs="Times New Roman"/>
          <w:szCs w:val="24"/>
        </w:rPr>
        <w:fldChar w:fldCharType="separate"/>
      </w:r>
      <w:r w:rsidR="00FB2988" w:rsidRPr="00FB2988">
        <w:rPr>
          <w:rFonts w:cs="Times New Roman"/>
          <w:noProof/>
          <w:szCs w:val="24"/>
        </w:rPr>
        <w:t>(Giacomoni, 2017)</w:t>
      </w:r>
      <w:r w:rsidR="00FB2988">
        <w:rPr>
          <w:rFonts w:cs="Times New Roman"/>
          <w:szCs w:val="24"/>
        </w:rPr>
        <w:fldChar w:fldCharType="end"/>
      </w:r>
      <w:r>
        <w:rPr>
          <w:rFonts w:cs="Times New Roman"/>
          <w:szCs w:val="24"/>
        </w:rPr>
        <w:t>.</w:t>
      </w:r>
      <w:r w:rsidR="00FB2988">
        <w:rPr>
          <w:rFonts w:cs="Times New Roman"/>
          <w:szCs w:val="24"/>
        </w:rPr>
        <w:t xml:space="preserve"> A LDO </w:t>
      </w:r>
      <w:r w:rsidR="00FB2988" w:rsidRPr="00FB2988">
        <w:rPr>
          <w:rFonts w:cs="Times New Roman"/>
          <w:szCs w:val="24"/>
        </w:rPr>
        <w:t xml:space="preserve">representa um elo entre o PPA e </w:t>
      </w:r>
      <w:r w:rsidR="00FB2988">
        <w:rPr>
          <w:rFonts w:cs="Times New Roman"/>
          <w:szCs w:val="24"/>
        </w:rPr>
        <w:t>a</w:t>
      </w:r>
      <w:r w:rsidR="00FB2988" w:rsidRPr="00FB2988">
        <w:rPr>
          <w:rFonts w:cs="Times New Roman"/>
          <w:szCs w:val="24"/>
        </w:rPr>
        <w:t xml:space="preserve"> LOA. </w:t>
      </w:r>
      <w:r w:rsidR="00FB2988">
        <w:rPr>
          <w:rFonts w:cs="Times New Roman"/>
          <w:szCs w:val="24"/>
        </w:rPr>
        <w:t xml:space="preserve">Fornece anualmente </w:t>
      </w:r>
      <w:r w:rsidR="00FB2988" w:rsidRPr="00FB2988">
        <w:rPr>
          <w:rFonts w:cs="Times New Roman"/>
          <w:szCs w:val="24"/>
        </w:rPr>
        <w:t xml:space="preserve">diretrizes de como será </w:t>
      </w:r>
      <w:r w:rsidR="00FB2988">
        <w:rPr>
          <w:rFonts w:cs="Times New Roman"/>
          <w:szCs w:val="24"/>
        </w:rPr>
        <w:t>formado o orçamento a partir do PPA.</w:t>
      </w:r>
    </w:p>
    <w:p w14:paraId="113D474C" w14:textId="7C46F04E" w:rsidR="00FB2988" w:rsidRDefault="00FB2988" w:rsidP="00FB2988">
      <w:pPr>
        <w:rPr>
          <w:rFonts w:cs="Times New Roman"/>
          <w:szCs w:val="24"/>
        </w:rPr>
      </w:pPr>
      <w:r>
        <w:rPr>
          <w:rFonts w:cs="Times New Roman"/>
          <w:szCs w:val="24"/>
        </w:rPr>
        <w:t xml:space="preserve">A </w:t>
      </w:r>
      <w:r w:rsidRPr="00FB2988">
        <w:rPr>
          <w:rFonts w:cs="Times New Roman"/>
          <w:szCs w:val="24"/>
        </w:rPr>
        <w:t>LOA</w:t>
      </w:r>
      <w:r>
        <w:rPr>
          <w:rFonts w:cs="Times New Roman"/>
          <w:szCs w:val="24"/>
        </w:rPr>
        <w:t xml:space="preserve"> </w:t>
      </w:r>
      <w:r w:rsidRPr="00FB2988">
        <w:rPr>
          <w:rFonts w:cs="Times New Roman"/>
          <w:szCs w:val="24"/>
        </w:rPr>
        <w:t xml:space="preserve">é o </w:t>
      </w:r>
      <w:r>
        <w:rPr>
          <w:rFonts w:cs="Times New Roman"/>
          <w:szCs w:val="24"/>
        </w:rPr>
        <w:t xml:space="preserve">instrumento </w:t>
      </w:r>
      <w:r w:rsidRPr="00FB2988">
        <w:rPr>
          <w:rFonts w:cs="Times New Roman"/>
          <w:szCs w:val="24"/>
        </w:rPr>
        <w:t xml:space="preserve">que indica o quanto e onde </w:t>
      </w:r>
      <w:r>
        <w:rPr>
          <w:rFonts w:cs="Times New Roman"/>
          <w:szCs w:val="24"/>
        </w:rPr>
        <w:t xml:space="preserve">serão gastos </w:t>
      </w:r>
      <w:r w:rsidRPr="00FB2988">
        <w:rPr>
          <w:rFonts w:cs="Times New Roman"/>
          <w:szCs w:val="24"/>
        </w:rPr>
        <w:t>o</w:t>
      </w:r>
      <w:r>
        <w:rPr>
          <w:rFonts w:cs="Times New Roman"/>
          <w:szCs w:val="24"/>
        </w:rPr>
        <w:t>s</w:t>
      </w:r>
      <w:r w:rsidRPr="00FB2988">
        <w:rPr>
          <w:rFonts w:cs="Times New Roman"/>
          <w:szCs w:val="24"/>
        </w:rPr>
        <w:t xml:space="preserve"> </w:t>
      </w:r>
      <w:r>
        <w:rPr>
          <w:rFonts w:cs="Times New Roman"/>
          <w:szCs w:val="24"/>
        </w:rPr>
        <w:t>recursos</w:t>
      </w:r>
      <w:r w:rsidRPr="00FB2988">
        <w:rPr>
          <w:rFonts w:cs="Times New Roman"/>
          <w:szCs w:val="24"/>
        </w:rPr>
        <w:t xml:space="preserve"> público</w:t>
      </w:r>
      <w:r>
        <w:rPr>
          <w:rFonts w:cs="Times New Roman"/>
          <w:szCs w:val="24"/>
        </w:rPr>
        <w:t>s</w:t>
      </w:r>
      <w:r w:rsidRPr="00FB2988">
        <w:rPr>
          <w:rFonts w:cs="Times New Roman"/>
          <w:szCs w:val="24"/>
        </w:rPr>
        <w:t xml:space="preserve"> no período de 1 ano, com base no valor total </w:t>
      </w:r>
      <w:r>
        <w:rPr>
          <w:rFonts w:cs="Times New Roman"/>
          <w:szCs w:val="24"/>
        </w:rPr>
        <w:t>que se espera arrecadar</w:t>
      </w:r>
      <w:r w:rsidRPr="00FB2988">
        <w:rPr>
          <w:rFonts w:cs="Times New Roman"/>
          <w:szCs w:val="24"/>
        </w:rPr>
        <w:t>.</w:t>
      </w:r>
      <w:r>
        <w:rPr>
          <w:rFonts w:cs="Times New Roman"/>
          <w:szCs w:val="24"/>
        </w:rPr>
        <w:t xml:space="preserve"> </w:t>
      </w:r>
      <w:r w:rsidRPr="00FB2988">
        <w:rPr>
          <w:rFonts w:cs="Times New Roman"/>
          <w:szCs w:val="24"/>
        </w:rPr>
        <w:t>A LOA estima as receitas e fixa as despesas ano a ano.</w:t>
      </w:r>
    </w:p>
    <w:p w14:paraId="4948CF0E" w14:textId="796FF8C6" w:rsidR="00FB2988" w:rsidRDefault="00FB2988" w:rsidP="00A57E55">
      <w:pPr>
        <w:rPr>
          <w:rFonts w:cs="Times New Roman"/>
          <w:szCs w:val="24"/>
        </w:rPr>
      </w:pPr>
      <w:r>
        <w:rPr>
          <w:rFonts w:cs="Times New Roman"/>
          <w:szCs w:val="24"/>
        </w:rPr>
        <w:t>Como este trabalho tem foco sobre a LDO, é importe salientar o conteúdo que deve ser tratado neste instrumento</w:t>
      </w:r>
      <w:r w:rsidR="008A736E">
        <w:rPr>
          <w:rFonts w:cs="Times New Roman"/>
          <w:szCs w:val="24"/>
        </w:rPr>
        <w:t xml:space="preserve"> </w:t>
      </w:r>
      <w:r w:rsidR="008A736E">
        <w:rPr>
          <w:rFonts w:cs="Times New Roman"/>
          <w:szCs w:val="24"/>
        </w:rPr>
        <w:fldChar w:fldCharType="begin" w:fldLock="1"/>
      </w:r>
      <w:r w:rsidR="00BE55A9">
        <w:rPr>
          <w:rFonts w:cs="Times New Roman"/>
          <w:szCs w:val="24"/>
        </w:rPr>
        <w:instrText>ADDIN CSL_CITATION {"citationItems":[{"id":"ITEM-1","itemData":{"author":[{"dropping-particle":"","family":"BRASIL","given":"","non-dropping-particle":"","parse-names":false,"suffix":""}],"id":"ITEM-1","issued":{"date-parts":[["1988"]]},"title":"Constituição da república federativa do brasil de 1988","type":"legislation"},"uris":["http://www.mendeley.com/documents/?uuid=38f70734-cbca-411a-9360-776948c78a8c"]},{"id":"ITEM-2","itemData":{"author":[{"dropping-particle":"","family":"BRASIL","given":"","non-dropping-particle":"","parse-names":false,"suffix":""}],"id":"ITEM-2","issued":{"date-parts":[["2000"]]},"title":"Lei de Responsabilidade Fiscal","type":"legislation"},"uris":["http://www.mendeley.com/documents/?uuid=3489c4ad-ca71-428d-976e-cb2e2ce75013"]},{"id":"ITEM-3","itemData":{"author":[{"dropping-particle":"","family":"Lima","given":"Edilberto Carlos Pontes","non-dropping-particle":"","parse-names":false,"suffix":""}],"id":"ITEM-3","issued":{"date-parts":[["2015"]]},"publisher":"Atlas","publisher-place":"São Paulo","title":"Curso de finanças públicas: Uma abordagem contemporânea","type":"book"},"uris":["http://www.mendeley.com/documents/?uuid=88fa5a73-a8d1-4088-a8a4-20a62303cce5"]}],"mendeley":{"formattedCitation":"(BRASIL, 1988, 2000; Lima, 2015)","plainTextFormattedCitation":"(BRASIL, 1988, 2000; Lima, 2015)","previouslyFormattedCitation":"(BRASIL, 1988, 2000; Lima, 2015)"},"properties":{"noteIndex":0},"schema":"https://github.com/citation-style-language/schema/raw/master/csl-citation.json"}</w:instrText>
      </w:r>
      <w:r w:rsidR="008A736E">
        <w:rPr>
          <w:rFonts w:cs="Times New Roman"/>
          <w:szCs w:val="24"/>
        </w:rPr>
        <w:fldChar w:fldCharType="separate"/>
      </w:r>
      <w:r w:rsidR="008A736E" w:rsidRPr="008A736E">
        <w:rPr>
          <w:rFonts w:cs="Times New Roman"/>
          <w:noProof/>
          <w:szCs w:val="24"/>
        </w:rPr>
        <w:t>(BRASIL, 1988, 2000; Lima, 2015)</w:t>
      </w:r>
      <w:r w:rsidR="008A736E">
        <w:rPr>
          <w:rFonts w:cs="Times New Roman"/>
          <w:szCs w:val="24"/>
        </w:rPr>
        <w:fldChar w:fldCharType="end"/>
      </w:r>
      <w:r>
        <w:rPr>
          <w:rFonts w:cs="Times New Roman"/>
          <w:szCs w:val="24"/>
        </w:rPr>
        <w:t>:</w:t>
      </w:r>
    </w:p>
    <w:p w14:paraId="650335B2" w14:textId="77777777" w:rsidR="00FB2988" w:rsidRDefault="00FB2988" w:rsidP="00A57E55">
      <w:pPr>
        <w:rPr>
          <w:rFonts w:cs="Times New Roman"/>
          <w:szCs w:val="24"/>
        </w:rPr>
      </w:pPr>
    </w:p>
    <w:p w14:paraId="2956D91D" w14:textId="25100A39" w:rsidR="00A57E55" w:rsidRDefault="008A736E" w:rsidP="003D00D9">
      <w:pPr>
        <w:pStyle w:val="PargrafodaLista"/>
        <w:numPr>
          <w:ilvl w:val="0"/>
          <w:numId w:val="6"/>
        </w:numPr>
        <w:spacing w:after="160"/>
        <w:ind w:left="714" w:hanging="357"/>
        <w:jc w:val="left"/>
        <w:rPr>
          <w:rFonts w:cs="Times New Roman"/>
          <w:szCs w:val="24"/>
        </w:rPr>
      </w:pPr>
      <w:r>
        <w:rPr>
          <w:rFonts w:cs="Times New Roman"/>
          <w:szCs w:val="24"/>
        </w:rPr>
        <w:t>M</w:t>
      </w:r>
      <w:r w:rsidR="00A57E55">
        <w:rPr>
          <w:rFonts w:cs="Times New Roman"/>
          <w:szCs w:val="24"/>
        </w:rPr>
        <w:t>etas e prioridades da administração pública para o exercício financeiro subsequente;</w:t>
      </w:r>
    </w:p>
    <w:p w14:paraId="03D4067B" w14:textId="115EC58F" w:rsidR="00A57E55" w:rsidRDefault="008A736E" w:rsidP="003D00D9">
      <w:pPr>
        <w:pStyle w:val="PargrafodaLista"/>
        <w:numPr>
          <w:ilvl w:val="0"/>
          <w:numId w:val="6"/>
        </w:numPr>
        <w:spacing w:after="160"/>
        <w:ind w:left="714" w:hanging="357"/>
        <w:jc w:val="left"/>
        <w:rPr>
          <w:rFonts w:cs="Times New Roman"/>
          <w:szCs w:val="24"/>
        </w:rPr>
      </w:pPr>
      <w:r>
        <w:rPr>
          <w:rFonts w:cs="Times New Roman"/>
          <w:szCs w:val="24"/>
        </w:rPr>
        <w:t>Orientação sobre</w:t>
      </w:r>
      <w:r w:rsidR="00A57E55">
        <w:rPr>
          <w:rFonts w:cs="Times New Roman"/>
          <w:szCs w:val="24"/>
        </w:rPr>
        <w:t xml:space="preserve"> a elaboração da LOA de acordo com o PPA;</w:t>
      </w:r>
    </w:p>
    <w:p w14:paraId="78094118" w14:textId="228E01E0" w:rsidR="00A57E55" w:rsidRDefault="008A736E" w:rsidP="003D00D9">
      <w:pPr>
        <w:pStyle w:val="PargrafodaLista"/>
        <w:numPr>
          <w:ilvl w:val="0"/>
          <w:numId w:val="6"/>
        </w:numPr>
        <w:spacing w:after="160"/>
        <w:ind w:left="714" w:hanging="357"/>
        <w:jc w:val="left"/>
        <w:rPr>
          <w:rFonts w:cs="Times New Roman"/>
          <w:szCs w:val="24"/>
        </w:rPr>
      </w:pPr>
      <w:r>
        <w:rPr>
          <w:rFonts w:cs="Times New Roman"/>
          <w:szCs w:val="24"/>
        </w:rPr>
        <w:t>A</w:t>
      </w:r>
      <w:r w:rsidR="00A57E55">
        <w:rPr>
          <w:rFonts w:cs="Times New Roman"/>
          <w:szCs w:val="24"/>
        </w:rPr>
        <w:t>lterações na legislação tributária</w:t>
      </w:r>
      <w:r>
        <w:rPr>
          <w:rFonts w:cs="Times New Roman"/>
          <w:szCs w:val="24"/>
        </w:rPr>
        <w:t>;</w:t>
      </w:r>
      <w:r w:rsidR="00A57E55">
        <w:rPr>
          <w:rFonts w:cs="Times New Roman"/>
          <w:szCs w:val="24"/>
        </w:rPr>
        <w:t xml:space="preserve"> </w:t>
      </w:r>
    </w:p>
    <w:p w14:paraId="16134090" w14:textId="0663A798" w:rsidR="00A57E55" w:rsidRPr="00EA5E7D" w:rsidRDefault="008A736E" w:rsidP="003D00D9">
      <w:pPr>
        <w:pStyle w:val="PargrafodaLista"/>
        <w:numPr>
          <w:ilvl w:val="0"/>
          <w:numId w:val="6"/>
        </w:numPr>
        <w:spacing w:after="160"/>
        <w:ind w:left="714" w:hanging="357"/>
        <w:jc w:val="left"/>
        <w:rPr>
          <w:rFonts w:cs="Times New Roman"/>
          <w:szCs w:val="24"/>
        </w:rPr>
      </w:pPr>
      <w:r>
        <w:rPr>
          <w:rFonts w:cs="Times New Roman"/>
          <w:szCs w:val="24"/>
        </w:rPr>
        <w:t xml:space="preserve">Estabelecer </w:t>
      </w:r>
      <w:r w:rsidR="00A57E55">
        <w:rPr>
          <w:rFonts w:cs="Times New Roman"/>
          <w:szCs w:val="24"/>
        </w:rPr>
        <w:t>a política de aplicação das agências financeiras de fomento.</w:t>
      </w:r>
    </w:p>
    <w:p w14:paraId="5BDEBB84" w14:textId="36BD1028" w:rsidR="00A57E55" w:rsidRPr="00966794" w:rsidRDefault="008A736E" w:rsidP="003D00D9">
      <w:pPr>
        <w:pStyle w:val="PargrafodaLista"/>
        <w:numPr>
          <w:ilvl w:val="0"/>
          <w:numId w:val="7"/>
        </w:numPr>
        <w:spacing w:after="160"/>
        <w:ind w:left="714" w:hanging="357"/>
        <w:jc w:val="left"/>
        <w:rPr>
          <w:rFonts w:cs="Times New Roman"/>
          <w:szCs w:val="24"/>
        </w:rPr>
      </w:pPr>
      <w:r>
        <w:rPr>
          <w:rFonts w:cs="Times New Roman"/>
          <w:szCs w:val="24"/>
        </w:rPr>
        <w:t xml:space="preserve">Dispor sobre o </w:t>
      </w:r>
      <w:r w:rsidR="00A57E55">
        <w:rPr>
          <w:rFonts w:cs="Times New Roman"/>
          <w:szCs w:val="24"/>
        </w:rPr>
        <w:t>e</w:t>
      </w:r>
      <w:r w:rsidR="00A57E55" w:rsidRPr="00966794">
        <w:rPr>
          <w:rFonts w:cs="Times New Roman"/>
          <w:szCs w:val="24"/>
        </w:rPr>
        <w:t>quilíbrio entre receitas e despesas;</w:t>
      </w:r>
    </w:p>
    <w:p w14:paraId="0ACC8FE6" w14:textId="6820F435" w:rsidR="00A57E55" w:rsidRPr="00966794" w:rsidRDefault="008A736E" w:rsidP="003D00D9">
      <w:pPr>
        <w:pStyle w:val="PargrafodaLista"/>
        <w:numPr>
          <w:ilvl w:val="0"/>
          <w:numId w:val="7"/>
        </w:numPr>
        <w:spacing w:after="160"/>
        <w:ind w:left="714" w:hanging="357"/>
        <w:jc w:val="left"/>
        <w:rPr>
          <w:rFonts w:cs="Times New Roman"/>
          <w:szCs w:val="24"/>
        </w:rPr>
      </w:pPr>
      <w:r>
        <w:rPr>
          <w:rFonts w:cs="Times New Roman"/>
          <w:szCs w:val="24"/>
        </w:rPr>
        <w:t xml:space="preserve">Apresentar </w:t>
      </w:r>
      <w:r w:rsidR="00A57E55">
        <w:rPr>
          <w:rFonts w:cs="Times New Roman"/>
          <w:szCs w:val="24"/>
        </w:rPr>
        <w:t>c</w:t>
      </w:r>
      <w:r w:rsidR="00A57E55" w:rsidRPr="00966794">
        <w:rPr>
          <w:rFonts w:cs="Times New Roman"/>
          <w:szCs w:val="24"/>
        </w:rPr>
        <w:t>ritérios e forma delimitação de empenho;</w:t>
      </w:r>
    </w:p>
    <w:p w14:paraId="64B90EF8" w14:textId="2D0557E3" w:rsidR="00A57E55" w:rsidRPr="00966794" w:rsidRDefault="008A736E" w:rsidP="003D00D9">
      <w:pPr>
        <w:pStyle w:val="PargrafodaLista"/>
        <w:numPr>
          <w:ilvl w:val="0"/>
          <w:numId w:val="7"/>
        </w:numPr>
        <w:spacing w:after="160"/>
        <w:ind w:left="714" w:hanging="357"/>
        <w:jc w:val="left"/>
        <w:rPr>
          <w:rFonts w:cs="Times New Roman"/>
          <w:szCs w:val="24"/>
        </w:rPr>
      </w:pPr>
      <w:r>
        <w:rPr>
          <w:rFonts w:cs="Times New Roman"/>
          <w:szCs w:val="24"/>
        </w:rPr>
        <w:t>N</w:t>
      </w:r>
      <w:r w:rsidR="00A57E55" w:rsidRPr="00966794">
        <w:rPr>
          <w:rFonts w:cs="Times New Roman"/>
          <w:szCs w:val="24"/>
        </w:rPr>
        <w:t>ormas relativas ao controle de custos e à avaliação dos resultados dos programas financiados com recursos dos orçamentos;</w:t>
      </w:r>
    </w:p>
    <w:p w14:paraId="46CD8923" w14:textId="58FD5598" w:rsidR="008A736E" w:rsidRDefault="008A736E" w:rsidP="003D00D9">
      <w:pPr>
        <w:pStyle w:val="PargrafodaLista"/>
        <w:numPr>
          <w:ilvl w:val="0"/>
          <w:numId w:val="7"/>
        </w:numPr>
        <w:spacing w:after="160"/>
        <w:ind w:left="714" w:hanging="357"/>
        <w:jc w:val="left"/>
        <w:rPr>
          <w:rFonts w:cs="Times New Roman"/>
          <w:szCs w:val="24"/>
        </w:rPr>
      </w:pPr>
      <w:r w:rsidRPr="008A736E">
        <w:rPr>
          <w:rFonts w:cs="Times New Roman"/>
          <w:szCs w:val="24"/>
        </w:rPr>
        <w:t>C</w:t>
      </w:r>
      <w:r w:rsidR="00A57E55" w:rsidRPr="008A736E">
        <w:rPr>
          <w:rFonts w:cs="Times New Roman"/>
          <w:szCs w:val="24"/>
        </w:rPr>
        <w:t xml:space="preserve">ondições e exigências para transferências de recursos </w:t>
      </w:r>
      <w:r w:rsidRPr="008A736E">
        <w:rPr>
          <w:rFonts w:cs="Times New Roman"/>
          <w:szCs w:val="24"/>
        </w:rPr>
        <w:t>à</w:t>
      </w:r>
      <w:r w:rsidR="003D00D9">
        <w:rPr>
          <w:rFonts w:cs="Times New Roman"/>
          <w:szCs w:val="24"/>
        </w:rPr>
        <w:t>s</w:t>
      </w:r>
      <w:r w:rsidR="00A57E55" w:rsidRPr="008A736E">
        <w:rPr>
          <w:rFonts w:cs="Times New Roman"/>
          <w:szCs w:val="24"/>
        </w:rPr>
        <w:t xml:space="preserve"> entidades públicas e privadas;</w:t>
      </w:r>
    </w:p>
    <w:p w14:paraId="1107E523" w14:textId="33775137" w:rsidR="00A57E55" w:rsidRPr="008A736E" w:rsidRDefault="00A57E55" w:rsidP="003D00D9">
      <w:pPr>
        <w:pStyle w:val="PargrafodaLista"/>
        <w:numPr>
          <w:ilvl w:val="0"/>
          <w:numId w:val="7"/>
        </w:numPr>
        <w:spacing w:after="160"/>
        <w:ind w:left="714" w:hanging="357"/>
        <w:jc w:val="left"/>
        <w:rPr>
          <w:rFonts w:cs="Times New Roman"/>
          <w:szCs w:val="24"/>
        </w:rPr>
      </w:pPr>
      <w:r w:rsidRPr="008A736E">
        <w:rPr>
          <w:rFonts w:cs="Times New Roman"/>
          <w:szCs w:val="24"/>
        </w:rPr>
        <w:t>Anexos de Metas e Riscos Fiscais. Conforme Giacomo destaca, o primeiro anexo trará:</w:t>
      </w:r>
    </w:p>
    <w:p w14:paraId="76EE18FF" w14:textId="52BE2DF4" w:rsidR="00A57E55" w:rsidRPr="00966794" w:rsidRDefault="003D00D9" w:rsidP="003D00D9">
      <w:pPr>
        <w:pStyle w:val="PargrafodaLista"/>
        <w:numPr>
          <w:ilvl w:val="0"/>
          <w:numId w:val="8"/>
        </w:numPr>
        <w:spacing w:after="160"/>
        <w:ind w:left="714" w:hanging="357"/>
        <w:jc w:val="left"/>
        <w:rPr>
          <w:rFonts w:cs="Times New Roman"/>
          <w:szCs w:val="24"/>
        </w:rPr>
      </w:pPr>
      <w:r>
        <w:rPr>
          <w:rFonts w:cs="Times New Roman"/>
          <w:szCs w:val="24"/>
        </w:rPr>
        <w:lastRenderedPageBreak/>
        <w:t>M</w:t>
      </w:r>
      <w:r w:rsidR="00A57E55" w:rsidRPr="00966794">
        <w:rPr>
          <w:rFonts w:cs="Times New Roman"/>
          <w:szCs w:val="24"/>
        </w:rPr>
        <w:t>etas anuais</w:t>
      </w:r>
      <w:r>
        <w:rPr>
          <w:rFonts w:cs="Times New Roman"/>
          <w:szCs w:val="24"/>
        </w:rPr>
        <w:t xml:space="preserve"> </w:t>
      </w:r>
      <w:r w:rsidR="00A57E55" w:rsidRPr="00966794">
        <w:rPr>
          <w:rFonts w:cs="Times New Roman"/>
          <w:szCs w:val="24"/>
        </w:rPr>
        <w:t>relativas a receitas, despesas, resultados nominal e primário e montante da dívida pública</w:t>
      </w:r>
      <w:r>
        <w:rPr>
          <w:rFonts w:cs="Times New Roman"/>
          <w:szCs w:val="24"/>
        </w:rPr>
        <w:t>.</w:t>
      </w:r>
    </w:p>
    <w:p w14:paraId="2741F210" w14:textId="47136C6B" w:rsidR="00A57E55" w:rsidRPr="00966794" w:rsidRDefault="003D00D9" w:rsidP="00E552B4">
      <w:pPr>
        <w:pStyle w:val="PargrafodaLista"/>
        <w:numPr>
          <w:ilvl w:val="0"/>
          <w:numId w:val="8"/>
        </w:numPr>
        <w:ind w:left="714" w:hanging="357"/>
        <w:jc w:val="left"/>
        <w:rPr>
          <w:rFonts w:cs="Times New Roman"/>
          <w:szCs w:val="24"/>
        </w:rPr>
      </w:pPr>
      <w:r>
        <w:rPr>
          <w:rFonts w:cs="Times New Roman"/>
          <w:szCs w:val="24"/>
        </w:rPr>
        <w:t>A</w:t>
      </w:r>
      <w:r w:rsidR="00A57E55" w:rsidRPr="00966794">
        <w:rPr>
          <w:rFonts w:cs="Times New Roman"/>
          <w:szCs w:val="24"/>
        </w:rPr>
        <w:t>valiação do cumprimento das metas relativas ao ano anterior;</w:t>
      </w:r>
    </w:p>
    <w:p w14:paraId="665B55F4" w14:textId="77777777" w:rsidR="003D00D9" w:rsidRDefault="003D00D9" w:rsidP="00A57E55">
      <w:pPr>
        <w:rPr>
          <w:rFonts w:cs="Times New Roman"/>
          <w:szCs w:val="24"/>
        </w:rPr>
      </w:pPr>
    </w:p>
    <w:p w14:paraId="7F8054CA" w14:textId="7C39A069" w:rsidR="00A57E55" w:rsidRPr="005652A1" w:rsidRDefault="003D00D9" w:rsidP="003D00D9">
      <w:pPr>
        <w:rPr>
          <w:rFonts w:cs="Times New Roman"/>
          <w:szCs w:val="24"/>
        </w:rPr>
      </w:pPr>
      <w:r>
        <w:rPr>
          <w:rFonts w:cs="Times New Roman"/>
          <w:szCs w:val="24"/>
        </w:rPr>
        <w:t>Portanto, a LDO deve abordar sobre as c</w:t>
      </w:r>
      <w:r w:rsidRPr="008A736E">
        <w:rPr>
          <w:rFonts w:cs="Times New Roman"/>
          <w:szCs w:val="24"/>
        </w:rPr>
        <w:t>ondições e exigências para transferências de recursos à</w:t>
      </w:r>
      <w:r>
        <w:rPr>
          <w:rFonts w:cs="Times New Roman"/>
          <w:szCs w:val="24"/>
        </w:rPr>
        <w:t>s</w:t>
      </w:r>
      <w:r w:rsidRPr="008A736E">
        <w:rPr>
          <w:rFonts w:cs="Times New Roman"/>
          <w:szCs w:val="24"/>
        </w:rPr>
        <w:t xml:space="preserve"> entidades públicas e privadas</w:t>
      </w:r>
      <w:r>
        <w:rPr>
          <w:rFonts w:cs="Times New Roman"/>
          <w:szCs w:val="24"/>
        </w:rPr>
        <w:t>. Dentre elas, estão as transferências voluntárias. O que ocorreu na LDO de 2018, e que interessa para este trabalho, foi a alteração de uma exigência específica para municípios com menos de 50 mil habitantes, deixando de existir a obrigatoriedade de estar em conformidade com o CAUC.</w:t>
      </w:r>
    </w:p>
    <w:p w14:paraId="47B8F26F" w14:textId="77777777" w:rsidR="003446F4" w:rsidRDefault="003446F4" w:rsidP="003D00D9">
      <w:pPr>
        <w:pStyle w:val="SemEspaamento"/>
        <w:spacing w:line="360" w:lineRule="auto"/>
      </w:pPr>
    </w:p>
    <w:p w14:paraId="291337CA" w14:textId="6753D006" w:rsidR="003446F4" w:rsidRDefault="003446F4" w:rsidP="003446F4">
      <w:pPr>
        <w:pStyle w:val="Ttulo2"/>
      </w:pPr>
      <w:r>
        <w:t>O MÉTODO DE DIFERENÇAS-EM-DIFERENÇAS</w:t>
      </w:r>
    </w:p>
    <w:p w14:paraId="5C7E01AC" w14:textId="77777777" w:rsidR="004056DE" w:rsidRPr="004056DE" w:rsidRDefault="004056DE" w:rsidP="004056DE">
      <w:pPr>
        <w:pStyle w:val="SemEspaamento"/>
      </w:pPr>
    </w:p>
    <w:p w14:paraId="614FF61B" w14:textId="288C1BF8" w:rsidR="003446F4" w:rsidRDefault="003446F4" w:rsidP="003446F4">
      <w:r>
        <w:t xml:space="preserve">Considerando o objetivo de </w:t>
      </w:r>
      <w:r w:rsidRPr="009E0BE7">
        <w:t xml:space="preserve">investigar </w:t>
      </w:r>
      <w:r>
        <w:t>o impacto d</w:t>
      </w:r>
      <w:r w:rsidRPr="009E0BE7">
        <w:t xml:space="preserve">a alteração </w:t>
      </w:r>
      <w:r>
        <w:t>d</w:t>
      </w:r>
      <w:r w:rsidRPr="009E0BE7">
        <w:t>a LDO de 2018</w:t>
      </w:r>
      <w:r>
        <w:t xml:space="preserve"> sobre</w:t>
      </w:r>
      <w:r w:rsidRPr="009E0BE7">
        <w:t xml:space="preserve"> o recebimento de recursos financeiros</w:t>
      </w:r>
      <w:r>
        <w:t xml:space="preserve"> de municípios com até 50 mil habitantes este trabalho utiliza a metodologia de Diferenças-em-Diferenças (</w:t>
      </w:r>
      <w:proofErr w:type="spellStart"/>
      <w:r>
        <w:t>Diff</w:t>
      </w:r>
      <w:proofErr w:type="spellEnd"/>
      <w:r>
        <w:t>-</w:t>
      </w:r>
      <w:proofErr w:type="spellStart"/>
      <w:r>
        <w:t>in-Diff</w:t>
      </w:r>
      <w:proofErr w:type="spellEnd"/>
      <w:r>
        <w:t xml:space="preserve">). Conforme </w:t>
      </w:r>
      <w:r>
        <w:fldChar w:fldCharType="begin" w:fldLock="1"/>
      </w:r>
      <w:r>
        <w:instrText>ADDIN CSL_CITATION {"citationItems":[{"id":"ITEM-1","itemData":{"DOI":"https://doi.org/10.1590/1982-7849rac2021200067","author":[{"dropping-particle":"","family":"Schiozer","given":"Rafael Felipe","non-dropping-particle":"","parse-names":false,"suffix":""},{"dropping-particle":"","family":"Mourad","given":"Frederico Abou","non-dropping-particle":"","parse-names":false,"suffix":""},{"dropping-particle":"","family":"Martins","given":"Theo Cotrim","non-dropping-particle":"","parse-names":false,"suffix":""}],"container-title":"Journal of Contemporary Administration","id":"ITEM-1","issue":"1","issued":{"date-parts":[["2021"]]},"page":"1-19","title":"A Tutorial on the Use of Differences-in-Differences in Management, Finance, and Accounting","type":"article-journal","volume":"25"},"uris":["http://www.mendeley.com/documents/?uuid=6766e6c0-6ec3-41bf-8205-f886f3a812b4"]}],"mendeley":{"formattedCitation":"(Schiozer, Mourad, &amp; Martins, 2021)","manualFormatting":"Schiozer, Mourad e Martins (2021)","plainTextFormattedCitation":"(Schiozer, Mourad, &amp; Martins, 2021)","previouslyFormattedCitation":"(Schiozer, Mourad, &amp; Martins, 2021)"},"properties":{"noteIndex":0},"schema":"https://github.com/citation-style-language/schema/raw/master/csl-citation.json"}</w:instrText>
      </w:r>
      <w:r>
        <w:fldChar w:fldCharType="separate"/>
      </w:r>
      <w:r w:rsidRPr="00FF75D3">
        <w:rPr>
          <w:noProof/>
        </w:rPr>
        <w:t>Schiozer, Mourad</w:t>
      </w:r>
      <w:r>
        <w:rPr>
          <w:noProof/>
        </w:rPr>
        <w:t xml:space="preserve"> e</w:t>
      </w:r>
      <w:r w:rsidRPr="00FF75D3">
        <w:rPr>
          <w:noProof/>
        </w:rPr>
        <w:t xml:space="preserve"> Martins </w:t>
      </w:r>
      <w:r>
        <w:rPr>
          <w:noProof/>
        </w:rPr>
        <w:t>(</w:t>
      </w:r>
      <w:r w:rsidRPr="00FF75D3">
        <w:rPr>
          <w:noProof/>
        </w:rPr>
        <w:t>2021)</w:t>
      </w:r>
      <w:r>
        <w:fldChar w:fldCharType="end"/>
      </w:r>
      <w:r>
        <w:t xml:space="preserve">, a técnica de </w:t>
      </w:r>
      <w:proofErr w:type="spellStart"/>
      <w:r>
        <w:t>Dif</w:t>
      </w:r>
      <w:r w:rsidR="00524FAA">
        <w:t>f</w:t>
      </w:r>
      <w:proofErr w:type="spellEnd"/>
      <w:r>
        <w:t>-</w:t>
      </w:r>
      <w:proofErr w:type="spellStart"/>
      <w:r>
        <w:t>in-Dif</w:t>
      </w:r>
      <w:r w:rsidR="00524FAA">
        <w:t>f</w:t>
      </w:r>
      <w:proofErr w:type="spellEnd"/>
      <w:r>
        <w:t xml:space="preserve"> tem se tornado popular em diversas área quantitativas de ciências sociais.</w:t>
      </w:r>
    </w:p>
    <w:p w14:paraId="53A14CB7" w14:textId="105E5843" w:rsidR="003446F4" w:rsidRDefault="003446F4" w:rsidP="003446F4">
      <w:r>
        <w:t xml:space="preserve">Para se ter uma ideia da amplitude do alcance desta técnica </w:t>
      </w:r>
      <w:r>
        <w:fldChar w:fldCharType="begin" w:fldLock="1"/>
      </w:r>
      <w:r>
        <w:instrText>ADDIN CSL_CITATION {"citationItems":[{"id":"ITEM-1","itemData":{"DOI":"https://doi.org/10.1590/1982-7849rac2021200067","author":[{"dropping-particle":"","family":"Schiozer","given":"Rafael Felipe","non-dropping-particle":"","parse-names":false,"suffix":""},{"dropping-particle":"","family":"Mourad","given":"Frederico Abou","non-dropping-particle":"","parse-names":false,"suffix":""},{"dropping-particle":"","family":"Martins","given":"Theo Cotrim","non-dropping-particle":"","parse-names":false,"suffix":""}],"container-title":"Journal of Contemporary Administration","id":"ITEM-1","issue":"1","issued":{"date-parts":[["2021"]]},"page":"1-19","title":"A Tutorial on the Use of Differences-in-Differences in Management, Finance, and Accounting","type":"article-journal","volume":"25"},"uris":["http://www.mendeley.com/documents/?uuid=6766e6c0-6ec3-41bf-8205-f886f3a812b4"]}],"mendeley":{"formattedCitation":"(Schiozer et al., 2021)","manualFormatting":"Schiozer, Mourad e Martins (2021)","plainTextFormattedCitation":"(Schiozer et al., 2021)","previouslyFormattedCitation":"(Schiozer et al., 2021)"},"properties":{"noteIndex":0},"schema":"https://github.com/citation-style-language/schema/raw/master/csl-citation.json"}</w:instrText>
      </w:r>
      <w:r>
        <w:fldChar w:fldCharType="separate"/>
      </w:r>
      <w:r w:rsidRPr="00FF75D3">
        <w:rPr>
          <w:noProof/>
        </w:rPr>
        <w:t>Schiozer, Mourad</w:t>
      </w:r>
      <w:r>
        <w:rPr>
          <w:noProof/>
        </w:rPr>
        <w:t xml:space="preserve"> e</w:t>
      </w:r>
      <w:r w:rsidRPr="00FF75D3">
        <w:rPr>
          <w:noProof/>
        </w:rPr>
        <w:t xml:space="preserve"> Martins </w:t>
      </w:r>
      <w:r>
        <w:rPr>
          <w:noProof/>
        </w:rPr>
        <w:t>(</w:t>
      </w:r>
      <w:r w:rsidRPr="00FF75D3">
        <w:rPr>
          <w:noProof/>
        </w:rPr>
        <w:t>2021)</w:t>
      </w:r>
      <w:r>
        <w:fldChar w:fldCharType="end"/>
      </w:r>
      <w:r>
        <w:t xml:space="preserve"> citam a presença de trabalhos nas áreas de finanças </w:t>
      </w:r>
      <w:r>
        <w:fldChar w:fldCharType="begin" w:fldLock="1"/>
      </w:r>
      <w:r>
        <w:instrText>ADDIN CSL_CITATION {"citationItems":[{"id":"ITEM-1","itemData":{"DOI":"10.2307/2946668","author":[{"dropping-particle":"","family":"Jayaratne","given":"Jith","non-dropping-particle":"","parse-names":false,"suffix":""},{"dropping-particle":"","family":"Strahan","given":"Philip E.","non-dropping-particle":"","parse-names":false,"suffix":""}],"container-title":"Oxford University Press","id":"ITEM-1","issue":"3","issued":{"date-parts":[["1996"]]},"page":"639-670","title":"The Finance-Growth Nexus: Evidence from Bank Branch Deregulation","type":"article-journal","volume":"111"},"uris":["http://www.mendeley.com/documents/?uuid=64498b91-8ece-4d57-b10d-4444f67127a5"]}],"mendeley":{"formattedCitation":"(Jayaratne &amp; Strahan, 1996)","plainTextFormattedCitation":"(Jayaratne &amp; Strahan, 1996)","previouslyFormattedCitation":"(Jayaratne &amp; Strahan, 1996)"},"properties":{"noteIndex":0},"schema":"https://github.com/citation-style-language/schema/raw/master/csl-citation.json"}</w:instrText>
      </w:r>
      <w:r>
        <w:fldChar w:fldCharType="separate"/>
      </w:r>
      <w:r w:rsidRPr="000E7FD2">
        <w:rPr>
          <w:noProof/>
        </w:rPr>
        <w:t>(Jayaratne &amp; Strahan, 1996)</w:t>
      </w:r>
      <w:r>
        <w:fldChar w:fldCharType="end"/>
      </w:r>
      <w:r>
        <w:t xml:space="preserve">, negócios internacionais </w:t>
      </w:r>
      <w:r>
        <w:fldChar w:fldCharType="begin" w:fldLock="1"/>
      </w:r>
      <w:r>
        <w:instrText>ADDIN CSL_CITATION {"citationItems":[{"id":"ITEM-1","itemData":{"DOI":"10.1057/s41267-017-0104-x","ISSN":"14786990","abstract":"This study examines how philanthropy can mitigate liability of foreignness (LOF) in the aftermath of a national disaster. A major disaster restructures the social landscape, creating an avenue for corporate contributions to play a role in recovery and relief efforts. This social restructuring offers a valuable opportunity for multinational enterprises (MNEs) to establish strong local ties. In turn, MNE contributions at such times have a stronger impact on their local acceptance. Thus, MNEs can use these events to strengthen their position in the community and mitigate LOF. Using the context of a national disaster in India, I test these arguments with a sample of 190 MNEs and 660 domestic firms. I found that in the aftermath of the disaster, the increase in MNE contributions was much larger and less strongly tied to promotional activities than the increase in contributions from domestic firms, and this difference persisted over time. Moreover, the performance implication of post-disaster philanthropy was stronger for MNEs than for domestic firms. These findings suggest that philanthropy plays a more strategic role for MNEs in the aftermath of a disaster and it has a pronounced effect on mitigating LOF.","author":[{"dropping-particle":"","family":"Mithani","given":"Murad A.","non-dropping-particle":"","parse-names":false,"suffix":""}],"container-title":"Journal of International Business Studies","id":"ITEM-1","issue":"8","issued":{"date-parts":[["2017"]]},"page":"941-963","publisher":"Palgrave Macmillan UK","title":"Liability of foreignness, natural disasters, and corporate philanthropy","type":"article-journal","volume":"48"},"uris":["http://www.mendeley.com/documents/?uuid=4346d482-4fc2-4437-8ca9-1e29b2bd3fba"]}],"mendeley":{"formattedCitation":"(Mithani, 2017)","plainTextFormattedCitation":"(Mithani, 2017)","previouslyFormattedCitation":"(Mithani, 2017)"},"properties":{"noteIndex":0},"schema":"https://github.com/citation-style-language/schema/raw/master/csl-citation.json"}</w:instrText>
      </w:r>
      <w:r>
        <w:fldChar w:fldCharType="separate"/>
      </w:r>
      <w:r w:rsidRPr="000E7FD2">
        <w:rPr>
          <w:noProof/>
        </w:rPr>
        <w:t>(Mithani, 2017)</w:t>
      </w:r>
      <w:r>
        <w:fldChar w:fldCharType="end"/>
      </w:r>
      <w:r w:rsidRPr="000E7FD2">
        <w:t xml:space="preserve"> e </w:t>
      </w:r>
      <w:r>
        <w:t>c</w:t>
      </w:r>
      <w:r w:rsidRPr="000E7FD2">
        <w:t>ont</w:t>
      </w:r>
      <w:r>
        <w:t xml:space="preserve">abilidade </w:t>
      </w:r>
      <w:r>
        <w:fldChar w:fldCharType="begin" w:fldLock="1"/>
      </w:r>
      <w:r>
        <w:instrText>ADDIN CSL_CITATION {"citationItems":[{"id":"ITEM-1","itemData":{"DOI":"10.1016/j.jacceco.2017.11.009","ISSN":"01654101","abstract":"We examine how mandatory disclosure of corporate social responsibility (CSR) impacts firm performance and social externalities. Our analysis exploits China's 2008 mandate requiring firms to disclose CSR activities, using a difference-in-differences design. Although the mandate does not require firms to spend on CSR, we find that mandatory CSR reporting firms experience a decrease in profitability subsequent to the mandate. In addition, the cities most impacted by the disclosure mandate experience a decrease in their industrial wastewater and SO2 emission levels. These findings suggest that mandatory CSR disclosure alters firm behavior and generates positive externalities at the expense of shareholders.","author":[{"dropping-particle":"","family":"Chen","given":"Yi Chun","non-dropping-particle":"","parse-names":false,"suffix":""},{"dropping-particle":"","family":"Hung","given":"Mingyi","non-dropping-particle":"","parse-names":false,"suffix":""},{"dropping-particle":"","family":"Wang","given":"Yongxiang","non-dropping-particle":"","parse-names":false,"suffix":""}],"container-title":"Journal of Accounting and Economics","id":"ITEM-1","issue":"1","issued":{"date-parts":[["2018"]]},"page":"169-190","publisher":"Elsevier B.V.","title":"The effect of mandatory CSR disclosure on firm profitability and social externalities: Evidence from China","type":"article-journal","volume":"65"},"uris":["http://www.mendeley.com/documents/?uuid=a6002ed6-43c5-4b3d-b290-0f02e28331e0"]}],"mendeley":{"formattedCitation":"(Chen, Hung, &amp; Wang, 2018)","plainTextFormattedCitation":"(Chen, Hung, &amp; Wang, 2018)","previouslyFormattedCitation":"(Chen, Hung, &amp; Wang, 2018)"},"properties":{"noteIndex":0},"schema":"https://github.com/citation-style-language/schema/raw/master/csl-citation.json"}</w:instrText>
      </w:r>
      <w:r>
        <w:fldChar w:fldCharType="separate"/>
      </w:r>
      <w:r w:rsidRPr="000E7FD2">
        <w:rPr>
          <w:noProof/>
        </w:rPr>
        <w:t>(Chen, Hung, &amp; Wang, 2018)</w:t>
      </w:r>
      <w:r>
        <w:fldChar w:fldCharType="end"/>
      </w:r>
      <w:r>
        <w:t xml:space="preserve">. Além disso, é importante apontar também trabalhos na área de ciências políticas </w:t>
      </w:r>
      <w:r>
        <w:fldChar w:fldCharType="begin" w:fldLock="1"/>
      </w:r>
      <w:r w:rsidR="00A57E55">
        <w:instrText>ADDIN CSL_CITATION {"citationItems":[{"id":"ITEM-1","itemData":{"DOI":"10.1257/app.20160055","ISSN":"19457790","abstract":"We provide evidence on the effect of market illegality on violence. Brazil was historically the main exporter of mahogany. Starting in the 1990s, trade was restricted and eventually prohibited. We build on previous evidence that mahogany trade persisted after prohibition and document relative increases in violence in areas with natural occurrence of mahogany. We show that as illegal activity receded in the late 2000s so did the relative increase in violence. We describe an experience of increase in violence following the transition of a market from legal to illegal and contribute to the evaluation of prohibition policies under limited enforcement.","author":[{"dropping-particle":"","family":"Chimeli","given":"Ariaster B.","non-dropping-particle":"","parse-names":false,"suffix":""},{"dropping-particle":"","family":"Soares","given":"Rodrigo R.","non-dropping-particle":"","parse-names":false,"suffix":""}],"container-title":"American Economic Journal: Applied Economics","id":"ITEM-1","issue":"4","issued":{"date-parts":[["2017"]]},"page":"30-57.p","title":"The use of violence in illegal markets: Evidence from mahogany trade in the Brazilian Amazon","type":"article-journal","volume":"9"},"uris":["http://www.mendeley.com/documents/?uuid=fa297ed5-190a-405c-bb6f-81297a8a6e50"]},{"id":"ITEM-2","itemData":{"DOI":"10.1017/S0003055413000580","ISSN":"15375943","abstract":"Comparative political economy offers a wealth of hypotheses connecting decentralization to improved public service delivery. In recent years, influential formal and experimental work has begun to question the underlying theory and empirical analyses of previous findings. At the same time, many countries have grown dissatisfied with the results of their decentralization efforts and have begun to reverse them. Vietnam is particularly intriguing because of the unique way in which it designed its recentralization, piloting a removal of elected people's councils in 99 districts across the country and stratifying the selection by region, type of province, and urban versus rural setting. We take advantage of the opportunity provided by this quasi experiment to test the core hypotheses regarding the decision to shift administrative and fiscal authority to local governments. We find that recentralization significantly improved public service delivery in areas important to central policy-makers, especially in transportation, healthcare, and communications. Copyright © American Political Science Association 2014.","author":[{"dropping-particle":"","family":"Malesky","given":"Edmund J.","non-dropping-particle":"","parse-names":false,"suffix":""},{"dropping-particle":"","family":"Nguyen","given":"Cuong Viet","non-dropping-particle":"","parse-names":false,"suffix":""},{"dropping-particle":"","family":"Tran","given":"Anh","non-dropping-particle":"","parse-names":false,"suffix":""}],"container-title":"American Political Science Review","id":"ITEM-2","issue":"1","issued":{"date-parts":[["2014"]]},"page":"144-168","title":"The impact of recentralization on public services: A difference-in- differences analysis of the abolition of elected councils in vietnam","type":"article-journal","volume":"108"},"uris":["http://www.mendeley.com/documents/?uuid=178af169-38fc-4d78-ad4e-45e9591bf9fe"]}],"mendeley":{"formattedCitation":"(Chimeli &amp; Soares, 2017; Malesky, Nguyen, &amp; Tran, 2014)","plainTextFormattedCitation":"(Chimeli &amp; Soares, 2017; Malesky, Nguyen, &amp; Tran, 2014)","previouslyFormattedCitation":"(Chimeli &amp; Soares, 2017; Malesky, Nguyen, &amp; Tran, 2014)"},"properties":{"noteIndex":0},"schema":"https://github.com/citation-style-language/schema/raw/master/csl-citation.json"}</w:instrText>
      </w:r>
      <w:r>
        <w:fldChar w:fldCharType="separate"/>
      </w:r>
      <w:r w:rsidRPr="008A674B">
        <w:rPr>
          <w:noProof/>
        </w:rPr>
        <w:t>(Chimeli &amp; Soares, 2017; Malesky, Nguyen, &amp; Tran, 2014)</w:t>
      </w:r>
      <w:r>
        <w:fldChar w:fldCharType="end"/>
      </w:r>
      <w:r>
        <w:t>.</w:t>
      </w:r>
    </w:p>
    <w:p w14:paraId="6E08D953" w14:textId="510C0B89" w:rsidR="003446F4" w:rsidRDefault="003446F4" w:rsidP="003446F4">
      <w:r>
        <w:t xml:space="preserve">A metodologia de </w:t>
      </w:r>
      <w:proofErr w:type="spellStart"/>
      <w:r>
        <w:t>Dif</w:t>
      </w:r>
      <w:r w:rsidR="00524FAA">
        <w:t>f</w:t>
      </w:r>
      <w:proofErr w:type="spellEnd"/>
      <w:r>
        <w:t>-</w:t>
      </w:r>
      <w:proofErr w:type="spellStart"/>
      <w:r>
        <w:t>in-Dif</w:t>
      </w:r>
      <w:r w:rsidR="00524FAA">
        <w:t>f</w:t>
      </w:r>
      <w:proofErr w:type="spellEnd"/>
      <w:r>
        <w:t xml:space="preserve"> faz parte dos estudos observacionais, em que não há independência no processo de assimilação de tratamento e nem controle do mecanismo de assimilação do tratamento por parte do pesquisador. Neste sentido, nos estudos observacionais não se pode ter garantia de que nenhum componente do mecanismo de assimilação de tratamento é independente dos possíveis resultados. Tudo o que é considerado como tratamento é influenciado por variáveis omitidas, causalidade reversa e auto seleção.</w:t>
      </w:r>
    </w:p>
    <w:p w14:paraId="648644FA" w14:textId="24EAE19B" w:rsidR="003446F4" w:rsidRDefault="003446F4" w:rsidP="003446F4">
      <w:r>
        <w:t xml:space="preserve">Uma grande vantagem do </w:t>
      </w:r>
      <w:proofErr w:type="spellStart"/>
      <w:r>
        <w:t>Di</w:t>
      </w:r>
      <w:r w:rsidR="00524FAA">
        <w:t>f</w:t>
      </w:r>
      <w:r>
        <w:t>f</w:t>
      </w:r>
      <w:proofErr w:type="spellEnd"/>
      <w:r>
        <w:t>-</w:t>
      </w:r>
      <w:proofErr w:type="spellStart"/>
      <w:r>
        <w:t>in-Di</w:t>
      </w:r>
      <w:r w:rsidR="00524FAA">
        <w:t>f</w:t>
      </w:r>
      <w:r>
        <w:t>f</w:t>
      </w:r>
      <w:proofErr w:type="spellEnd"/>
      <w:r>
        <w:t xml:space="preserve"> é que ele combina as metodologias de corte transversal e de séries temporais. A utilização da metodologia de corte transversal permite comparar diferentes indivíduos em um mesmo momento no tempo e as séries temporais permitem comparar os mesmos indivíduos ao longo do tempo. Um ponto fraco da primeira metodologia (corte transversal) que deve ser levado em consideração é que podem haver variáveis omitidas influenciando os resultados, ou seja, talvez o resultado de um indivíduo x </w:t>
      </w:r>
      <w:r>
        <w:lastRenderedPageBreak/>
        <w:t xml:space="preserve">seja diferente do resultado do indivíduo y pela presença de alguma característica específica, como renda, educação </w:t>
      </w:r>
      <w:proofErr w:type="spellStart"/>
      <w:r>
        <w:t>etc</w:t>
      </w:r>
      <w:proofErr w:type="spellEnd"/>
      <w:r>
        <w:t xml:space="preserve"> (chamado de viés de variável omitida).</w:t>
      </w:r>
    </w:p>
    <w:p w14:paraId="0E112688" w14:textId="66EFF72B" w:rsidR="003446F4" w:rsidRDefault="003446F4" w:rsidP="003446F4">
      <w:r>
        <w:t xml:space="preserve">Já com a segunda metodologia não há esse problema, pois ao lidar com os mesmos indivíduos as características estão exatamente pareadas. Contudo, neste segundo caso uma fragilidade que precisa ser considerada é </w:t>
      </w:r>
      <w:r w:rsidR="00A1565C">
        <w:t>com características que se alteram no tempo e que podem afetar o</w:t>
      </w:r>
      <w:r>
        <w:t>s resultados, por exemplo, um indivíduo pode ter o salário “x” em determinado momento e, cinco anos depois, o salário passa a ser “y”, o que pode impactar potenciais resultados que se deseje verificar, como a forma de consumo (viés de tendência geral), ou seja, o mesmo indivíduo tem um perfil de consumo se o seu salário é “x” e poderá ter outro perfil se o seu salário for “y”.</w:t>
      </w:r>
    </w:p>
    <w:p w14:paraId="42FFDE9C" w14:textId="13BF06B9" w:rsidR="003446F4" w:rsidRDefault="003446F4" w:rsidP="003446F4">
      <w:r>
        <w:t xml:space="preserve">A forma como </w:t>
      </w:r>
      <w:proofErr w:type="spellStart"/>
      <w:r>
        <w:t>Dif</w:t>
      </w:r>
      <w:r w:rsidR="00524FAA">
        <w:t>f</w:t>
      </w:r>
      <w:proofErr w:type="spellEnd"/>
      <w:r>
        <w:t>-</w:t>
      </w:r>
      <w:proofErr w:type="spellStart"/>
      <w:r>
        <w:t>in-Dif</w:t>
      </w:r>
      <w:r w:rsidR="00524FAA">
        <w:t>f</w:t>
      </w:r>
      <w:proofErr w:type="spellEnd"/>
      <w:r>
        <w:t xml:space="preserve"> combina estas duas metodologias é comparando os mesmos indivíduos ao longo do tempo entre diferentes grupos (tratamento e controle). Esta forma de avaliação permite comparar mudanças entre os grupos. Neste trabalho em específico, o que se deseja é comparar o grupos de tratamento (municípios com até 50 mil habitantes) com o grupo de controle (municípios com mais de 50 mil habitantes) antes e depois dos possíveis efeitos da alteração da LDO de 2018. Isto permite avaliar se a alteração na LDO causou mudanças nos recebimentos de transferências voluntárias nos municípios, confrontando-se as mudanças nos recebimentos de grandes municípios antes e depois da alteração da LDO com as mudanças nos recebimentos dos pequenos municípios nos períodos antes e depois da alteração da LDO. Aplicando-se esta metodologia, é possível remover os riscos dos dois vieses comentados anteriormente, o viés de variável omitida e o viés de tendência geral.</w:t>
      </w:r>
    </w:p>
    <w:p w14:paraId="6D0BF124" w14:textId="77777777" w:rsidR="003446F4" w:rsidRPr="000E7FD2" w:rsidRDefault="003446F4" w:rsidP="003446F4">
      <w:r>
        <w:t xml:space="preserve">A técnica de </w:t>
      </w:r>
      <w:proofErr w:type="spellStart"/>
      <w:r>
        <w:t>Diff</w:t>
      </w:r>
      <w:proofErr w:type="spellEnd"/>
      <w:r>
        <w:t>-</w:t>
      </w:r>
      <w:proofErr w:type="spellStart"/>
      <w:r>
        <w:t>in-Diff</w:t>
      </w:r>
      <w:proofErr w:type="spellEnd"/>
      <w:r>
        <w:t xml:space="preserve"> não resolve todos os problemas. Aqui serão mencionados dois aspectos específicos que devem ser considerados para dar suporte à causalidade dos achados. O </w:t>
      </w:r>
      <w:r w:rsidRPr="00BD7864">
        <w:rPr>
          <w:b/>
          <w:bCs/>
        </w:rPr>
        <w:t>primeiro</w:t>
      </w:r>
      <w:r>
        <w:t xml:space="preserve"> deles é se atentar à </w:t>
      </w:r>
      <w:r w:rsidRPr="00BD7864">
        <w:rPr>
          <w:b/>
          <w:bCs/>
        </w:rPr>
        <w:t>tendência geral</w:t>
      </w:r>
      <w:r>
        <w:t xml:space="preserve"> que havia no período antes do tratamento. Por exemplo, pode ser que os pequenos municípios já estavam em uma crescente em relação à quantidade de recursos que recebiam via transferências voluntárias, e que os grandes municípios estavam em queda em relação a estes recebimentos. A simples permanência desta tendência no período posterior à alteração da LDO, pode fazer com que os recebimentos por parte dos grandes municípios que eram maiores do que os recebimentos dos pequenos municípios sejam menores. Ou seja, a simples tendência que já estava estabelecida permaneceu e alterou a ordem dos grupos que recebiam mais/menos recursos. Esta tendência é analisada na seção de resultados.</w:t>
      </w:r>
    </w:p>
    <w:p w14:paraId="7E2EF68C" w14:textId="77777777" w:rsidR="003446F4" w:rsidRDefault="003446F4" w:rsidP="003446F4">
      <w:r>
        <w:t xml:space="preserve">O </w:t>
      </w:r>
      <w:r w:rsidRPr="00BD7864">
        <w:rPr>
          <w:b/>
          <w:bCs/>
        </w:rPr>
        <w:t>segundo</w:t>
      </w:r>
      <w:r>
        <w:t xml:space="preserve"> aspecto a ser considerado é se não existem </w:t>
      </w:r>
      <w:r w:rsidRPr="00BD7864">
        <w:rPr>
          <w:b/>
          <w:bCs/>
        </w:rPr>
        <w:t>efeitos concorrentes</w:t>
      </w:r>
      <w:r>
        <w:t xml:space="preserve"> que possam influenciar os resultados. Aplicando o conceito a este estudo, o que se quer é que tenha apenas </w:t>
      </w:r>
      <w:r>
        <w:lastRenderedPageBreak/>
        <w:t>a alteração da LDO de 2018 afetando os recebimentos financeiros via transferências voluntárias. Por exemplo, poderiam haver outras leis sancionadas no mesmo período que também influenciassem o recebimento das transferências por parte dos pequenos ou grandes municípios e que poderia afetar os resultados. Esta questão deve ser analisada através da busca por leis ou outros fenômenos que possam impactar os recebimentos de transferências voluntárias dos municípios. Neste sentido, a busca foi realizada e acredita-se que não tenha nenhum outro fenômeno relevante que possa impactar os recebimentos de transferências voluntárias municipais. Outro fator que garante robustez neste sentido é que o período de análise é relativamente curto, compara-se o ano de 2018 com o ano de 2019. Em grandes períodos de tempo diversos fenômenos podem ocorrer para afetar os resultados, sendo de difícil monitoramento.</w:t>
      </w:r>
    </w:p>
    <w:p w14:paraId="6AB55E74" w14:textId="1464F7BD" w:rsidR="003446F4" w:rsidRDefault="003446F4" w:rsidP="003446F4">
      <w:r>
        <w:t xml:space="preserve">Para o desenvolvimento do </w:t>
      </w:r>
      <w:proofErr w:type="spellStart"/>
      <w:r>
        <w:t>Diff</w:t>
      </w:r>
      <w:proofErr w:type="spellEnd"/>
      <w:r>
        <w:t>-</w:t>
      </w:r>
      <w:proofErr w:type="spellStart"/>
      <w:r>
        <w:t>in-Diff</w:t>
      </w:r>
      <w:proofErr w:type="spellEnd"/>
      <w:r>
        <w:t xml:space="preserve"> é preciso processar os dados via equação que considere a interação entre os efeitos do tratamento e entre os diferentes períodos (antes e após o tratamento). De forma simplificada, isto ocorre através da seguinte </w:t>
      </w:r>
      <w:r w:rsidR="007E1CB4">
        <w:t>equação:</w:t>
      </w:r>
    </w:p>
    <w:p w14:paraId="3FC05788" w14:textId="50EAD173" w:rsidR="003446F4" w:rsidRDefault="003446F4" w:rsidP="00C62DB5">
      <w:pPr>
        <w:pStyle w:val="SemEspaamento"/>
      </w:pPr>
    </w:p>
    <w:p w14:paraId="5B7208D6" w14:textId="43986C62" w:rsidR="003446F4" w:rsidRPr="007E1CB4" w:rsidRDefault="007E1CB4" w:rsidP="007E1CB4">
      <w:pPr>
        <w:pStyle w:val="SemEspaamento"/>
        <w:jc w:val="center"/>
      </w:pPr>
      <m:oMathPara>
        <m:oMathParaPr>
          <m:jc m:val="center"/>
        </m:oMathParaPr>
        <m:oMath>
          <m:r>
            <w:rPr>
              <w:rFonts w:ascii="Cambria Math" w:hAnsi="Cambria Math"/>
            </w:rPr>
            <m:t>Yit= α+ δTt+ βDi*Tt</m:t>
          </m:r>
        </m:oMath>
      </m:oMathPara>
    </w:p>
    <w:p w14:paraId="18FD95DB" w14:textId="0080DA77" w:rsidR="003446F4" w:rsidRDefault="003446F4" w:rsidP="00C62DB5">
      <w:pPr>
        <w:pStyle w:val="SemEspaamento"/>
      </w:pPr>
    </w:p>
    <w:p w14:paraId="6A49C1AC" w14:textId="14020170" w:rsidR="007E1CB4" w:rsidRDefault="007E1CB4" w:rsidP="007E1CB4">
      <w:pPr>
        <w:pStyle w:val="SemEspaamento"/>
        <w:spacing w:line="360" w:lineRule="auto"/>
        <w:rPr>
          <w:rFonts w:cs="Times New Roman"/>
        </w:rPr>
      </w:pPr>
      <w:r w:rsidRPr="007E1CB4">
        <w:rPr>
          <w:rFonts w:cs="Times New Roman"/>
        </w:rPr>
        <w:t>Em que α, β e δ são os coeficientes, i representa cada indivíduo (município no caso deste estudo), t representa o período. Já D e T são variáveis (</w:t>
      </w:r>
      <w:r w:rsidR="00310693">
        <w:rPr>
          <w:rFonts w:cs="Times New Roman"/>
        </w:rPr>
        <w:t xml:space="preserve">geralmente </w:t>
      </w:r>
      <w:proofErr w:type="spellStart"/>
      <w:r w:rsidRPr="007E1CB4">
        <w:rPr>
          <w:rFonts w:cs="Times New Roman"/>
          <w:i/>
          <w:iCs/>
        </w:rPr>
        <w:t>dummies</w:t>
      </w:r>
      <w:proofErr w:type="spellEnd"/>
      <w:r w:rsidR="00310693" w:rsidRPr="00310693">
        <w:rPr>
          <w:rFonts w:cs="Times New Roman"/>
        </w:rPr>
        <w:t>, em casos mais tradicionais</w:t>
      </w:r>
      <w:r w:rsidRPr="007E1CB4">
        <w:rPr>
          <w:rFonts w:cs="Times New Roman"/>
        </w:rPr>
        <w:t>), D assume o valor 0 se o indivíduo fizer parte do grupo de controle e 1 se fizer parte do grupo de tratamento. T assume o valor 0 se o período for antes de ocorrer o fenômeno e 1 após o fenômeno.</w:t>
      </w:r>
    </w:p>
    <w:p w14:paraId="5573F5BC" w14:textId="7901BCB0" w:rsidR="007E1CB4" w:rsidRDefault="007E1CB4" w:rsidP="007E1CB4">
      <w:pPr>
        <w:pStyle w:val="SemEspaamento"/>
        <w:spacing w:line="360" w:lineRule="auto"/>
        <w:rPr>
          <w:rFonts w:cs="Times New Roman"/>
        </w:rPr>
      </w:pPr>
      <w:r>
        <w:rPr>
          <w:rFonts w:cs="Times New Roman"/>
        </w:rPr>
        <w:t xml:space="preserve">O coeficiente que deve ser levado em conta para avaliar os resultados é </w:t>
      </w:r>
      <w:r w:rsidRPr="007E1CB4">
        <w:rPr>
          <w:rFonts w:cs="Times New Roman"/>
        </w:rPr>
        <w:t>β</w:t>
      </w:r>
      <w:r>
        <w:rPr>
          <w:rFonts w:cs="Times New Roman"/>
        </w:rPr>
        <w:t>, que resulta da interação entre o status de tratamento (D) com o período (T).</w:t>
      </w:r>
      <w:r w:rsidR="0050039D">
        <w:rPr>
          <w:rFonts w:cs="Times New Roman"/>
        </w:rPr>
        <w:t xml:space="preserve"> A variável </w:t>
      </w:r>
      <w:r w:rsidR="0050039D" w:rsidRPr="007E1CB4">
        <w:rPr>
          <w:rFonts w:cs="Times New Roman"/>
        </w:rPr>
        <w:t>β</w:t>
      </w:r>
      <w:r w:rsidR="0050039D">
        <w:rPr>
          <w:rFonts w:cs="Times New Roman"/>
        </w:rPr>
        <w:t xml:space="preserve"> retrata a estimativa do efeito de tratamento médio</w:t>
      </w:r>
      <w:r w:rsidR="00274FAF">
        <w:rPr>
          <w:rFonts w:cs="Times New Roman"/>
        </w:rPr>
        <w:t xml:space="preserve"> para os indivíduos. Em outras palavras, </w:t>
      </w:r>
      <w:r w:rsidR="00274FAF" w:rsidRPr="007E1CB4">
        <w:rPr>
          <w:rFonts w:cs="Times New Roman"/>
        </w:rPr>
        <w:t>β</w:t>
      </w:r>
      <w:r w:rsidR="00274FAF">
        <w:rPr>
          <w:rFonts w:cs="Times New Roman"/>
        </w:rPr>
        <w:t xml:space="preserve"> representa a diferença das diferenças</w:t>
      </w:r>
      <w:r w:rsidR="00246814">
        <w:rPr>
          <w:rFonts w:cs="Times New Roman"/>
        </w:rPr>
        <w:t>, em maiores detalhes é a</w:t>
      </w:r>
      <w:r w:rsidR="00274FAF">
        <w:rPr>
          <w:rFonts w:cs="Times New Roman"/>
        </w:rPr>
        <w:t xml:space="preserve"> diferença entre a mudança para o </w:t>
      </w:r>
      <w:r w:rsidR="00246814">
        <w:rPr>
          <w:rFonts w:cs="Times New Roman"/>
        </w:rPr>
        <w:t xml:space="preserve">grupo </w:t>
      </w:r>
      <w:r w:rsidR="00274FAF">
        <w:rPr>
          <w:rFonts w:cs="Times New Roman"/>
        </w:rPr>
        <w:t xml:space="preserve">tratamento e a mudança para o </w:t>
      </w:r>
      <w:r w:rsidR="00246814">
        <w:rPr>
          <w:rFonts w:cs="Times New Roman"/>
        </w:rPr>
        <w:t xml:space="preserve">grupo de </w:t>
      </w:r>
      <w:r w:rsidR="00274FAF">
        <w:rPr>
          <w:rFonts w:cs="Times New Roman"/>
        </w:rPr>
        <w:t>controle</w:t>
      </w:r>
      <w:r w:rsidR="00246814">
        <w:rPr>
          <w:rFonts w:cs="Times New Roman"/>
        </w:rPr>
        <w:t>.</w:t>
      </w:r>
    </w:p>
    <w:p w14:paraId="52B0AFE3" w14:textId="0FAD6D3B" w:rsidR="00246814" w:rsidRPr="007E1CB4" w:rsidRDefault="00246814" w:rsidP="007E1CB4">
      <w:pPr>
        <w:pStyle w:val="SemEspaamento"/>
        <w:spacing w:line="360" w:lineRule="auto"/>
        <w:rPr>
          <w:rFonts w:cs="Times New Roman"/>
        </w:rPr>
      </w:pPr>
      <w:r>
        <w:rPr>
          <w:rFonts w:cs="Times New Roman"/>
        </w:rPr>
        <w:t xml:space="preserve">As variáveis </w:t>
      </w:r>
      <w:r w:rsidRPr="007E1CB4">
        <w:rPr>
          <w:rFonts w:cs="Times New Roman"/>
        </w:rPr>
        <w:t>α</w:t>
      </w:r>
      <w:r>
        <w:rPr>
          <w:rFonts w:cs="Times New Roman"/>
        </w:rPr>
        <w:t xml:space="preserve"> </w:t>
      </w:r>
      <w:r w:rsidRPr="007E1CB4">
        <w:rPr>
          <w:rFonts w:cs="Times New Roman"/>
        </w:rPr>
        <w:t>e δ</w:t>
      </w:r>
      <w:r>
        <w:rPr>
          <w:rFonts w:cs="Times New Roman"/>
        </w:rPr>
        <w:t xml:space="preserve"> podem ser comparadas a ideia de efeitos fixos, ou seja, </w:t>
      </w:r>
      <w:r w:rsidRPr="007E1CB4">
        <w:rPr>
          <w:rFonts w:cs="Times New Roman"/>
        </w:rPr>
        <w:t>α</w:t>
      </w:r>
      <w:r>
        <w:rPr>
          <w:rFonts w:cs="Times New Roman"/>
        </w:rPr>
        <w:t xml:space="preserve"> retira o efeito da diferença no período “antes” entre os grupos de tratamento e controle. Já </w:t>
      </w:r>
      <w:r w:rsidRPr="007E1CB4">
        <w:rPr>
          <w:rFonts w:cs="Times New Roman"/>
        </w:rPr>
        <w:t>δ</w:t>
      </w:r>
      <w:r>
        <w:rPr>
          <w:rFonts w:cs="Times New Roman"/>
        </w:rPr>
        <w:t xml:space="preserve"> retira o efeito da </w:t>
      </w:r>
      <w:r w:rsidR="00010B62">
        <w:rPr>
          <w:rFonts w:cs="Times New Roman"/>
        </w:rPr>
        <w:t xml:space="preserve">variação média </w:t>
      </w:r>
      <w:r>
        <w:rPr>
          <w:rFonts w:cs="Times New Roman"/>
        </w:rPr>
        <w:t>temporal</w:t>
      </w:r>
      <w:r w:rsidR="002560D0">
        <w:rPr>
          <w:rFonts w:cs="Times New Roman"/>
        </w:rPr>
        <w:t>, isso permite calcular o efeito de tratamento no período posterior entre os grupos de tratamento e controle.</w:t>
      </w:r>
    </w:p>
    <w:p w14:paraId="1E2F4949" w14:textId="171B3835" w:rsidR="007E1CB4" w:rsidRDefault="007E1CB4" w:rsidP="00C62DB5">
      <w:pPr>
        <w:pStyle w:val="SemEspaamento"/>
      </w:pPr>
    </w:p>
    <w:p w14:paraId="0A48160F" w14:textId="77777777" w:rsidR="007E1CB4" w:rsidRDefault="007E1CB4" w:rsidP="00C62DB5">
      <w:pPr>
        <w:pStyle w:val="SemEspaamento"/>
      </w:pPr>
    </w:p>
    <w:p w14:paraId="0AA9A45D" w14:textId="77777777" w:rsidR="003446F4" w:rsidRDefault="003446F4" w:rsidP="00C62DB5">
      <w:pPr>
        <w:pStyle w:val="SemEspaamento"/>
      </w:pPr>
    </w:p>
    <w:p w14:paraId="729C1455" w14:textId="68C506B3" w:rsidR="00C62DB5" w:rsidRDefault="00C62DB5" w:rsidP="00C62DB5">
      <w:pPr>
        <w:pStyle w:val="SemEspaamento"/>
      </w:pPr>
    </w:p>
    <w:p w14:paraId="699EEAC0" w14:textId="0B758755" w:rsidR="00C62DB5" w:rsidRPr="00C62DB5" w:rsidRDefault="00C62DB5" w:rsidP="00C62DB5">
      <w:pPr>
        <w:pStyle w:val="Ttulo2"/>
      </w:pPr>
      <w:r>
        <w:lastRenderedPageBreak/>
        <w:t>HIPÓTESE DE PESQUISA</w:t>
      </w:r>
    </w:p>
    <w:p w14:paraId="3B11FD5A" w14:textId="3C3126CF" w:rsidR="00AB797F" w:rsidRDefault="00AB797F" w:rsidP="005C40E2"/>
    <w:p w14:paraId="44AAA71E" w14:textId="054DEA8D" w:rsidR="00AB797F" w:rsidRDefault="00D2237F" w:rsidP="005C40E2">
      <w:r>
        <w:t xml:space="preserve">A alteração na LDO de 2018 permitindo que municípios pequenos realizassem a assinatura de </w:t>
      </w:r>
      <w:r w:rsidRPr="007B03A6">
        <w:t>convênios e instrumentos congêneres</w:t>
      </w:r>
      <w:r>
        <w:t xml:space="preserve"> mesmo estando inadimplentes no CAUC foi uma forma de estímulo aos pequenos municípios para a realização destes </w:t>
      </w:r>
      <w:r w:rsidRPr="007B03A6">
        <w:t>convênios e instrumentos congêneres</w:t>
      </w:r>
      <w:r>
        <w:t xml:space="preserve">. Não foram encontrados estudos específicos sobre a alteração desta mesma lei, contudo, há notícia sobre </w:t>
      </w:r>
      <w:r w:rsidR="00AC649C">
        <w:t>a</w:t>
      </w:r>
      <w:r>
        <w:t xml:space="preserve"> alteração nas condições de transferências voluntárias para</w:t>
      </w:r>
      <w:r w:rsidR="00AC649C">
        <w:t xml:space="preserve"> pequenos</w:t>
      </w:r>
      <w:r>
        <w:t xml:space="preserve"> municípios </w:t>
      </w:r>
      <w:r w:rsidR="00AC649C">
        <w:t xml:space="preserve">que </w:t>
      </w:r>
      <w:r>
        <w:t>aborda</w:t>
      </w:r>
      <w:r w:rsidR="00AC649C">
        <w:t xml:space="preserve"> </w:t>
      </w:r>
      <w:r>
        <w:t xml:space="preserve">sobre a possibilidade </w:t>
      </w:r>
      <w:r w:rsidR="00D06602">
        <w:t>destes municípios</w:t>
      </w:r>
      <w:r>
        <w:t xml:space="preserve"> serem beneficiados</w:t>
      </w:r>
      <w:r>
        <w:rPr>
          <w:rStyle w:val="Refdenotaderodap"/>
        </w:rPr>
        <w:footnoteReference w:id="1"/>
      </w:r>
      <w:r>
        <w:t>.</w:t>
      </w:r>
    </w:p>
    <w:p w14:paraId="406F02DC" w14:textId="77777777" w:rsidR="00D06602" w:rsidRDefault="00AC649C" w:rsidP="005C40E2">
      <w:r>
        <w:t xml:space="preserve">Contudo, há de se levar em consideração que a alteração na </w:t>
      </w:r>
      <w:r w:rsidR="00D06602">
        <w:t>LDO impacta apenas a assinatura dos convênios, deixando condicionada a transferência efetiva dos recursos financeiros à quitação das irregularidades no CAUC. Tal situação pode se mostrar como um desmotivador para a celebração dos convênios, haja vista que o ponto central é auferir recursos financeiros.</w:t>
      </w:r>
    </w:p>
    <w:p w14:paraId="3839067C" w14:textId="77777777" w:rsidR="005321BB" w:rsidRDefault="00D06602" w:rsidP="005C40E2">
      <w:r>
        <w:t>Apesar de haver a possibilidade da alteração da LDO não ser um estímulo efetivo para a celebração de novos convênios e consequente recebimento de recursos financeiros via transferências voluntárias, acredita-se que os municípios desejam realizar convênios, pois isso se constitui como uma fonte de recursos</w:t>
      </w:r>
      <w:r w:rsidR="005321BB">
        <w:t xml:space="preserve">, e que a nova proposta dará o tempo hábil necessário para a regularização das pendências no CAUC. Desta forma, a celebração dos convênio deve ocorrer no ano de 2018 e o aumento do fluxo financeiro via transferências voluntárias deve ocorrer no ano de 2019, após a assinatura dos contratos e regularização da situação no CAUC. </w:t>
      </w:r>
    </w:p>
    <w:p w14:paraId="40489A7E" w14:textId="2371A793" w:rsidR="00AC649C" w:rsidRDefault="005321BB" w:rsidP="005C40E2">
      <w:r>
        <w:t>De acordo com estes argumentos, a hipótese de pesquisa a ser testada é a seguinte.</w:t>
      </w:r>
    </w:p>
    <w:p w14:paraId="5A367C21" w14:textId="7744F3FF" w:rsidR="005321BB" w:rsidRDefault="005321BB" w:rsidP="005C40E2"/>
    <w:p w14:paraId="2B518110" w14:textId="423E9C75" w:rsidR="005321BB" w:rsidRPr="008F51BB" w:rsidRDefault="005321BB" w:rsidP="005321BB">
      <w:pPr>
        <w:ind w:left="709" w:firstLine="0"/>
        <w:rPr>
          <w:b/>
          <w:bCs/>
        </w:rPr>
      </w:pPr>
      <w:r w:rsidRPr="008F51BB">
        <w:rPr>
          <w:b/>
          <w:bCs/>
        </w:rPr>
        <w:t xml:space="preserve">H1: A alteração da LDO que permite celebrar convênios e instrumentos congêneres com municípios de até 50 mil habitantes inadimplentes no CAUC irá aumentar os fluxos financeiros </w:t>
      </w:r>
      <w:r w:rsidR="008F51BB" w:rsidRPr="008F51BB">
        <w:rPr>
          <w:b/>
          <w:bCs/>
        </w:rPr>
        <w:t>de</w:t>
      </w:r>
      <w:r w:rsidRPr="008F51BB">
        <w:rPr>
          <w:b/>
          <w:bCs/>
        </w:rPr>
        <w:t xml:space="preserve"> transferências voluntárias destes municípios no ano seguinte à vigência da lei.</w:t>
      </w:r>
    </w:p>
    <w:p w14:paraId="06521E5E" w14:textId="1763ACC8" w:rsidR="00AB797F" w:rsidRDefault="00AB797F" w:rsidP="005C40E2"/>
    <w:p w14:paraId="65E823B6" w14:textId="20033F19" w:rsidR="00AB797F" w:rsidRDefault="00AB797F" w:rsidP="005C40E2"/>
    <w:p w14:paraId="379867EB" w14:textId="6CD760EF" w:rsidR="008F51BB" w:rsidRDefault="008F51BB" w:rsidP="005C40E2"/>
    <w:p w14:paraId="1DAEA45E" w14:textId="4FE46138" w:rsidR="008F51BB" w:rsidRDefault="008F51BB" w:rsidP="005C40E2"/>
    <w:p w14:paraId="07728E98" w14:textId="20CCF6F5" w:rsidR="008F51BB" w:rsidRDefault="00FD57E9" w:rsidP="00FD57E9">
      <w:pPr>
        <w:pStyle w:val="Ttulo1"/>
      </w:pPr>
      <w:r>
        <w:lastRenderedPageBreak/>
        <w:t>METODOLOGIA</w:t>
      </w:r>
    </w:p>
    <w:p w14:paraId="17F71976" w14:textId="7D988008" w:rsidR="008F51BB" w:rsidRDefault="008F51BB" w:rsidP="005C40E2"/>
    <w:p w14:paraId="1DAD1899" w14:textId="76BA8EBF" w:rsidR="0055579B" w:rsidRDefault="009234E6" w:rsidP="005C40E2">
      <w:r>
        <w:t xml:space="preserve">Para realizar a avaliação dos recursos recebidos pelos municípios foi necessário obter os dados de transferências voluntárias através do </w:t>
      </w:r>
      <w:r w:rsidR="00724E2E">
        <w:t>Portal da Transparência da Controladoria-Geral da União.</w:t>
      </w:r>
      <w:r w:rsidR="0055579B">
        <w:t xml:space="preserve"> Este trabalho tem a limitação de ter utilizado apenas as despesas do mês de agosto de cada ano e apenas os municípios do estado do Paraná. Esta limitação se dá em face ao caráter da presente pesquisa ser focada na utilização de um dos métodos abordados na disciplina de métodos quantitativos e não em uma pesquisa complexa focada em uma publicação definitiva de periódicos científicos. Neste sentido, para dar maior robustez aos achados é importante utilizar as despesas de forma completa e também todos os municípios brasileiros. Uma solução alternativa é utilizar as despesas totais e deixar claro que é um estudo válido apenas para os municípios paranaenses.</w:t>
      </w:r>
    </w:p>
    <w:p w14:paraId="69C4BE73" w14:textId="7C0B940F" w:rsidR="00D42940" w:rsidRDefault="0055579B" w:rsidP="005C40E2">
      <w:r>
        <w:t xml:space="preserve">A classificação dos municípios em grandes e pequenos é um critério específico deste trabalho e ocorreu através do critério estabelecido na LDO de 2018, o qual determinou que apenas os municípios com menos de 50 mil habitantes estarão dentro do escopo da alteração da LDO, representando assim os pequenos municípios. Para realizar a classificação do tamanho dos municípios utilizou-se os dados de estimativa populacional </w:t>
      </w:r>
      <w:r w:rsidR="004D61F6">
        <w:t xml:space="preserve">para 2019 do </w:t>
      </w:r>
      <w:r w:rsidR="004D61F6" w:rsidRPr="004D61F6">
        <w:t xml:space="preserve">Instituto Brasileiro de Geografia e Estatística </w:t>
      </w:r>
      <w:r w:rsidR="004D61F6">
        <w:t>(IBGE). Os dados foram tabulados no software Excel e processad</w:t>
      </w:r>
      <w:r w:rsidR="0023460E">
        <w:t>o</w:t>
      </w:r>
      <w:r w:rsidR="004D61F6">
        <w:t>s no software R.</w:t>
      </w:r>
    </w:p>
    <w:p w14:paraId="0E3A2874" w14:textId="5D4BB615" w:rsidR="00786F39" w:rsidRDefault="00786F39" w:rsidP="00786F39">
      <w:r>
        <w:t>Como os grupos são diferentes em termo do porte, ao invés de comparar o volume total de recebimentos financeiros via transferências voluntárias será comparado a variação com o período anterior. Este fato tem relação com os grandes municípios realizarem estas transações de maior volume, sendo assim favorecidos quando se compara os recebimentos totais de transferências voluntárias. Ao comparar as variações, elimina-se o efeito de que grandes municípios possuem a tendência de maiores recebimentos, pois o que passa a estar em jogo é o quanto os seus recebimentos foram maiores ou menores do que no ano anterior. Raciocínio análogo é aplicado aos pequenos municípios.</w:t>
      </w:r>
    </w:p>
    <w:p w14:paraId="7DA3E364" w14:textId="12171D12" w:rsidR="00D42940" w:rsidRDefault="00D42940" w:rsidP="005C40E2"/>
    <w:p w14:paraId="1BC2F2EA" w14:textId="79604176" w:rsidR="004D61F6" w:rsidRDefault="004D61F6" w:rsidP="004D61F6">
      <w:pPr>
        <w:pStyle w:val="Ttulo1"/>
      </w:pPr>
      <w:r>
        <w:t>RESULTADOS E ANÁLISES</w:t>
      </w:r>
    </w:p>
    <w:p w14:paraId="7CBC43E6" w14:textId="5D85CE75" w:rsidR="004D61F6" w:rsidRDefault="004D61F6" w:rsidP="005C40E2"/>
    <w:p w14:paraId="714E3ABD" w14:textId="1516FD5D" w:rsidR="004D61F6" w:rsidRDefault="0023460E" w:rsidP="005C40E2">
      <w:r>
        <w:t xml:space="preserve">Este trabalho está focado na utilização da técnica de Diferenças-em-Diferenças, por este motivo </w:t>
      </w:r>
      <w:r w:rsidR="00ED20FF">
        <w:t xml:space="preserve">foi utilizada </w:t>
      </w:r>
      <w:r>
        <w:t>apenas uma regressão “simples” com esta metodologia, ou seja, sem a utilização de controles</w:t>
      </w:r>
      <w:r w:rsidR="00ED20FF">
        <w:t xml:space="preserve"> adicionais</w:t>
      </w:r>
      <w:r>
        <w:t>. De qualquer forma, considerações serão feitas a este respeito, abordando possíveis impactos.</w:t>
      </w:r>
    </w:p>
    <w:p w14:paraId="019490D0" w14:textId="345D91D0" w:rsidR="001518A7" w:rsidRDefault="00310693" w:rsidP="005C40E2">
      <w:r>
        <w:lastRenderedPageBreak/>
        <w:t>É importante deixar claro quais são os grupos de tratamento e controle</w:t>
      </w:r>
      <w:r w:rsidR="00786F39">
        <w:t>. O grupo de controle corresponde aos grandes municípios (acima de 50 mil habitantes) e o grupo de tratamento são os pequenos municípios (abaixo de 50 mil habitantes, os quais foram não precisam estar com as contas em dia no CAUC para assinar contratos relacionados com transferências voluntárias. O resultado consiste nas variações dos níveis de recebimento de transferências voluntárias.</w:t>
      </w:r>
    </w:p>
    <w:p w14:paraId="3F704F8E" w14:textId="5FCA6317" w:rsidR="00786F39" w:rsidRDefault="00786F39" w:rsidP="005C40E2">
      <w:r>
        <w:t xml:space="preserve">Quatro pressupostos devem ser considerados para a correta aplicação da técnica de </w:t>
      </w:r>
      <w:proofErr w:type="spellStart"/>
      <w:r>
        <w:t>Diff</w:t>
      </w:r>
      <w:proofErr w:type="spellEnd"/>
      <w:r>
        <w:t>-</w:t>
      </w:r>
      <w:proofErr w:type="spellStart"/>
      <w:r>
        <w:t>in-Diff</w:t>
      </w:r>
      <w:proofErr w:type="spellEnd"/>
      <w:r>
        <w:t>:</w:t>
      </w:r>
    </w:p>
    <w:p w14:paraId="320F8997" w14:textId="77777777" w:rsidR="00786F39" w:rsidRDefault="00786F39" w:rsidP="005C40E2"/>
    <w:p w14:paraId="04AFB361" w14:textId="43E8449D" w:rsidR="00786F39" w:rsidRDefault="00786F39" w:rsidP="00786F39">
      <w:pPr>
        <w:pStyle w:val="PargrafodaLista"/>
        <w:numPr>
          <w:ilvl w:val="0"/>
          <w:numId w:val="5"/>
        </w:numPr>
      </w:pPr>
      <w:r w:rsidRPr="00B44CDC">
        <w:rPr>
          <w:b/>
          <w:bCs/>
        </w:rPr>
        <w:t xml:space="preserve">O conjunto de membros </w:t>
      </w:r>
      <w:r w:rsidR="00B44CDC" w:rsidRPr="00B44CDC">
        <w:rPr>
          <w:b/>
          <w:bCs/>
        </w:rPr>
        <w:t>dos grupos é estável</w:t>
      </w:r>
      <w:r w:rsidR="00B44CDC">
        <w:t>: Espera-se que não tenha migração de municípios do grupo de controle para o grupo de tratamento. Os membros do grupo de controle foram determinados com relação à população do município (maiores do que 50 mil habitantes). A população dos municípios tende a crescer, então, para sair do grupo de controle um município precisaria reduzir a sua população, o que não ocorreu e que não é comum de ocorrer. Este pressuposto não é um problema para este estudo.</w:t>
      </w:r>
    </w:p>
    <w:p w14:paraId="361E4D5E" w14:textId="177E9FEF" w:rsidR="00FD4526" w:rsidRDefault="00B44CDC" w:rsidP="00786F39">
      <w:pPr>
        <w:pStyle w:val="PargrafodaLista"/>
        <w:numPr>
          <w:ilvl w:val="0"/>
          <w:numId w:val="5"/>
        </w:numPr>
      </w:pPr>
      <w:r w:rsidRPr="00B44CDC">
        <w:rPr>
          <w:b/>
          <w:bCs/>
        </w:rPr>
        <w:t>Ausência de transbordamentos (</w:t>
      </w:r>
      <w:proofErr w:type="spellStart"/>
      <w:r w:rsidRPr="00B44CDC">
        <w:rPr>
          <w:b/>
          <w:bCs/>
          <w:i/>
          <w:iCs/>
        </w:rPr>
        <w:t>spillovers</w:t>
      </w:r>
      <w:proofErr w:type="spellEnd"/>
      <w:r w:rsidRPr="00B44CDC">
        <w:rPr>
          <w:b/>
          <w:bCs/>
        </w:rPr>
        <w:t>)</w:t>
      </w:r>
      <w:r>
        <w:t xml:space="preserve">: </w:t>
      </w:r>
      <w:r w:rsidR="00FD4526">
        <w:t>Este efeito de transbordamento ocorre quando</w:t>
      </w:r>
      <w:r w:rsidR="00BA6D5B">
        <w:t xml:space="preserve"> o tratamento</w:t>
      </w:r>
      <w:r w:rsidR="00FD4526">
        <w:t xml:space="preserve"> pode interferir nos potenciais resultados. No caso em estudo isto não é um problema, o critério de alocação dos grupos é feito de forma clara e transparente e não há motivos para isso interferir no resultados, ou seja, no volume de recursos recebidos via transferências voluntárias.</w:t>
      </w:r>
      <w:r w:rsidR="00BA6D5B">
        <w:t xml:space="preserve"> Como exemplo, um município grande não tende a realizar mais (ou menos) operações de transferências voluntárias por saber da alteração da LOA de 2018 que impacta os pequenos municípios. </w:t>
      </w:r>
    </w:p>
    <w:p w14:paraId="1B90816A" w14:textId="35000102" w:rsidR="00B44CDC" w:rsidRDefault="009477EB" w:rsidP="00786F39">
      <w:pPr>
        <w:pStyle w:val="PargrafodaLista"/>
        <w:numPr>
          <w:ilvl w:val="0"/>
          <w:numId w:val="5"/>
        </w:numPr>
      </w:pPr>
      <w:r>
        <w:rPr>
          <w:b/>
          <w:bCs/>
        </w:rPr>
        <w:t>Ausência de tratamento composto</w:t>
      </w:r>
      <w:r w:rsidRPr="009477EB">
        <w:t>:</w:t>
      </w:r>
      <w:r>
        <w:t xml:space="preserve"> Podem haver outros fenômenos que possam influenciar os resultados.</w:t>
      </w:r>
      <w:r w:rsidR="00FD4526">
        <w:t xml:space="preserve"> </w:t>
      </w:r>
      <w:r>
        <w:t>No caso em questão, o exemplo mais típicos seriam outras leis que surgiram no período e que influenciam os volumes de recursos financeiros recebidos pelos municípios. Apesar de ser difícil de comprovar de que não existe nenhum outro efeito composto, pela busca realizada e pelo conhecimento na área, não foram encontrados outros fenômenos que poderiam alterar os resultados. Considera-se assim que este pressuposto não é um problema para a pesquisa.</w:t>
      </w:r>
    </w:p>
    <w:p w14:paraId="22DD0157" w14:textId="33530341" w:rsidR="00FC59DF" w:rsidRDefault="00BA6D5B" w:rsidP="00786F39">
      <w:pPr>
        <w:pStyle w:val="PargrafodaLista"/>
        <w:numPr>
          <w:ilvl w:val="0"/>
          <w:numId w:val="5"/>
        </w:numPr>
      </w:pPr>
      <w:r>
        <w:rPr>
          <w:b/>
          <w:bCs/>
        </w:rPr>
        <w:t>Tendência paralela do pré-tratamento</w:t>
      </w:r>
      <w:r>
        <w:t xml:space="preserve">: para dar robustez aos resultados obtidos no método de </w:t>
      </w:r>
      <w:proofErr w:type="spellStart"/>
      <w:r>
        <w:t>Diff</w:t>
      </w:r>
      <w:proofErr w:type="spellEnd"/>
      <w:r>
        <w:t>-</w:t>
      </w:r>
      <w:proofErr w:type="spellStart"/>
      <w:r>
        <w:t>in-Diff</w:t>
      </w:r>
      <w:proofErr w:type="spellEnd"/>
      <w:r>
        <w:t xml:space="preserve"> é preciso verificar se antes do período considerado a tendência relativa à variação das transferências era a mesma (paralela) entre os grupos de tratamento e controle. Caso contrário, </w:t>
      </w:r>
      <w:r w:rsidR="00FC59DF">
        <w:t xml:space="preserve">uma tendência diferente em </w:t>
      </w:r>
      <w:r w:rsidR="00FC59DF">
        <w:lastRenderedPageBreak/>
        <w:t>períodos anteriores pode explicar o motivo de grandes/pequenos municípios passarem a ter mais ou menos variação no volume de transferências voluntárias ao invés do tratamento em si. Este pressuposto é um dos mais importantes e será avaliado na sequência sobre os dados.</w:t>
      </w:r>
    </w:p>
    <w:p w14:paraId="12B09342" w14:textId="1C1C51F5" w:rsidR="00AC59FD" w:rsidRDefault="00AC59FD" w:rsidP="00AC59FD"/>
    <w:p w14:paraId="0580D204" w14:textId="6C86515D" w:rsidR="00AC59FD" w:rsidRDefault="00AC59FD" w:rsidP="00AC59FD">
      <w:r>
        <w:t>Antes de iniciar a análise da tendência paralela do pré-tratamento é importante frisar que em séries temporais há o problema de auto</w:t>
      </w:r>
      <w:r w:rsidR="00E9073C">
        <w:t>correlação, no caso, o problema de autocorrelação pode ser explicado pelo fato de se saber os valores das transferências voluntárias do período atual é um indicador de quanto será em períodos subsequentes. Em outras palavras, as observações não são independentes. Para corrigir isto é preciso agrupar os erros padrão de acordo com a unidade de corte transversal, no caso, os municípios. Desta forma, em todos os momentos será trabalho com os erros padrão agrupados.</w:t>
      </w:r>
    </w:p>
    <w:p w14:paraId="77EC56EB" w14:textId="7517F796" w:rsidR="00E9073C" w:rsidRDefault="00E9073C" w:rsidP="00AC59FD">
      <w:r>
        <w:t xml:space="preserve">Outro fator a ser detalhado é que não foram utilizadas variáveis de controle nas regressões. </w:t>
      </w:r>
      <w:r w:rsidR="00D12751">
        <w:t xml:space="preserve">As variáveis de controle fazem com que a análise seja para unidades de mesmo valor da variável ou variáveis de controle consideradas. Nem por isso o indicado é colocar tantas variáveis de controle quanto possível, isso na verdade pode ser fonte de viés ao modelo. No caso em questão, seria importante inserir variáveis de controle como o Produto Interno Bruto (municipal), a população e o gasto total de cada município, permitindo controlar assim se os níveis dessas variáveis são </w:t>
      </w:r>
      <w:proofErr w:type="gramStart"/>
      <w:r w:rsidR="00D12751">
        <w:t>significativas</w:t>
      </w:r>
      <w:proofErr w:type="gramEnd"/>
      <w:r w:rsidR="00D12751">
        <w:t xml:space="preserve"> em relação aos resultados.</w:t>
      </w:r>
      <w:r w:rsidR="00B55CE6">
        <w:t xml:space="preserve"> O que ocorre é que se mantém constantes os níveis das variáveis de controle e compara-se a existência de diferenças nos resultados para os diferentes níveis das variáveis de controle.</w:t>
      </w:r>
    </w:p>
    <w:p w14:paraId="387A249B" w14:textId="77777777" w:rsidR="00FC59DF" w:rsidRDefault="00FC59DF" w:rsidP="00FC59DF"/>
    <w:p w14:paraId="5C338BA8" w14:textId="5A72BBB4" w:rsidR="009477EB" w:rsidRDefault="00FC59DF" w:rsidP="00FC59DF">
      <w:pPr>
        <w:pStyle w:val="Ttulo2"/>
      </w:pPr>
      <w:r>
        <w:t xml:space="preserve"> TENDÊNCIA PARALELA DO PRÉ-TRATAMENTO</w:t>
      </w:r>
    </w:p>
    <w:p w14:paraId="3FEFD021" w14:textId="145A4BE0" w:rsidR="00BA6D5B" w:rsidRDefault="00BA6D5B" w:rsidP="00BA6D5B"/>
    <w:p w14:paraId="671D8619" w14:textId="05C7A8FE" w:rsidR="00FC59DF" w:rsidRDefault="00AC59FD" w:rsidP="00BA6D5B">
      <w:r>
        <w:t xml:space="preserve">Os resultados do teste de tendência paralela do pré-tratamento foram obtidos pela aplicação da metodologia de </w:t>
      </w:r>
      <w:proofErr w:type="spellStart"/>
      <w:r>
        <w:t>Diff</w:t>
      </w:r>
      <w:proofErr w:type="spellEnd"/>
      <w:r>
        <w:t>-</w:t>
      </w:r>
      <w:proofErr w:type="spellStart"/>
      <w:r>
        <w:t>in-Diff</w:t>
      </w:r>
      <w:proofErr w:type="spellEnd"/>
      <w:r>
        <w:t xml:space="preserve"> no período de 2017-2018, ou seja, no período anterior ao efeito do tratamento. Os resultados podem ser visto</w:t>
      </w:r>
      <w:r w:rsidR="00E9073C">
        <w:t>s</w:t>
      </w:r>
      <w:r>
        <w:t xml:space="preserve"> na </w:t>
      </w:r>
      <w:r w:rsidR="0028668B">
        <w:t>Tabela 1</w:t>
      </w:r>
      <w:r>
        <w:t>.</w:t>
      </w:r>
    </w:p>
    <w:p w14:paraId="0A34A1FF" w14:textId="3A8B3DD0" w:rsidR="00AC59FD" w:rsidRDefault="00AC59FD" w:rsidP="00BA6D5B"/>
    <w:p w14:paraId="0ACF2F61" w14:textId="263EAE40" w:rsidR="00B55CE6" w:rsidRDefault="00B55CE6" w:rsidP="00BA6D5B"/>
    <w:p w14:paraId="4DAF9196" w14:textId="63710B25" w:rsidR="00B55CE6" w:rsidRDefault="00B55CE6" w:rsidP="00BA6D5B"/>
    <w:p w14:paraId="02C57A9D" w14:textId="6CFD8949" w:rsidR="00B55CE6" w:rsidRDefault="00B55CE6" w:rsidP="00BA6D5B"/>
    <w:p w14:paraId="5588B4D3" w14:textId="788DE46E" w:rsidR="00B55CE6" w:rsidRDefault="00B55CE6" w:rsidP="00BA6D5B"/>
    <w:p w14:paraId="768151BC" w14:textId="5A298A36" w:rsidR="00B55CE6" w:rsidRDefault="00B55CE6" w:rsidP="00BA6D5B"/>
    <w:p w14:paraId="06A82FA2" w14:textId="7D38108C" w:rsidR="00B55CE6" w:rsidRDefault="00B55CE6" w:rsidP="00BA6D5B"/>
    <w:p w14:paraId="03371D38" w14:textId="3BC31A6A" w:rsidR="00AC59FD" w:rsidRDefault="0028668B" w:rsidP="00B55CE6">
      <w:pPr>
        <w:ind w:firstLine="0"/>
        <w:jc w:val="center"/>
      </w:pPr>
      <w:r>
        <w:lastRenderedPageBreak/>
        <w:t>Tabela</w:t>
      </w:r>
      <w:r w:rsidR="00AC59FD">
        <w:t xml:space="preserve"> 1: </w:t>
      </w:r>
      <w:r w:rsidR="00B55CE6">
        <w:t xml:space="preserve">Aplicação de </w:t>
      </w:r>
      <w:proofErr w:type="spellStart"/>
      <w:r w:rsidR="00B55CE6">
        <w:t>Diff</w:t>
      </w:r>
      <w:proofErr w:type="spellEnd"/>
      <w:r w:rsidR="00B55CE6">
        <w:t>-</w:t>
      </w:r>
      <w:proofErr w:type="spellStart"/>
      <w:r w:rsidR="00B55CE6">
        <w:t>in-Diff</w:t>
      </w:r>
      <w:proofErr w:type="spellEnd"/>
      <w:r w:rsidR="00B55CE6">
        <w:t xml:space="preserve"> para avaliar a tendência paralela do pré-tratamento</w:t>
      </w:r>
    </w:p>
    <w:p w14:paraId="0919AE19" w14:textId="401C4613" w:rsidR="00AC59FD" w:rsidRDefault="00B55CE6" w:rsidP="00B55CE6">
      <w:pPr>
        <w:ind w:firstLine="0"/>
        <w:jc w:val="center"/>
      </w:pPr>
      <w:r w:rsidRPr="00B55CE6">
        <w:drawing>
          <wp:inline distT="0" distB="0" distL="0" distR="0" wp14:anchorId="17B91B46" wp14:editId="33581423">
            <wp:extent cx="1991003" cy="2896004"/>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1003" cy="2896004"/>
                    </a:xfrm>
                    <a:prstGeom prst="rect">
                      <a:avLst/>
                    </a:prstGeom>
                  </pic:spPr>
                </pic:pic>
              </a:graphicData>
            </a:graphic>
          </wp:inline>
        </w:drawing>
      </w:r>
    </w:p>
    <w:p w14:paraId="243F6DC3" w14:textId="30628504" w:rsidR="00FC59DF" w:rsidRDefault="00FC59DF" w:rsidP="00BA6D5B"/>
    <w:p w14:paraId="4E95C69D" w14:textId="1CA0FAFB" w:rsidR="00FC59DF" w:rsidRDefault="00B55CE6" w:rsidP="00BA6D5B">
      <w:r>
        <w:t xml:space="preserve">Para que o pré-tratamento apresente uma tendência paralela o coeficiente </w:t>
      </w:r>
      <w:r>
        <w:rPr>
          <w:rFonts w:cs="Times New Roman"/>
        </w:rPr>
        <w:t>β</w:t>
      </w:r>
      <w:r>
        <w:t xml:space="preserve"> deve ser igual a zero. </w:t>
      </w:r>
      <w:r w:rsidR="00BA06BD">
        <w:t xml:space="preserve">Se isto não ocorre, </w:t>
      </w:r>
      <w:r>
        <w:t xml:space="preserve">pode ser um problema para a aplicação da metodologia de </w:t>
      </w:r>
      <w:proofErr w:type="spellStart"/>
      <w:r>
        <w:t>Diff</w:t>
      </w:r>
      <w:proofErr w:type="spellEnd"/>
      <w:r>
        <w:t>-</w:t>
      </w:r>
      <w:proofErr w:type="spellStart"/>
      <w:r>
        <w:t>in-Diff</w:t>
      </w:r>
      <w:proofErr w:type="spellEnd"/>
      <w:r>
        <w:t>, pois indica que os grupos de tratamento e controle não tinham o mesmo comportamento</w:t>
      </w:r>
      <w:r w:rsidR="00842F00">
        <w:t xml:space="preserve">, ou seja, a mesma tendência antes de ocorrer o tratamento. Um possível motivo </w:t>
      </w:r>
      <w:r w:rsidR="00BA06BD">
        <w:t xml:space="preserve">neste estudo </w:t>
      </w:r>
      <w:r w:rsidR="00842F00">
        <w:t>é que a divisão dos grupos não é aleatória, ou seja, pequenos e grandes municípios são diferentes e, portanto, podem apresentar tendências diferentes.</w:t>
      </w:r>
      <w:r w:rsidR="00BA06BD">
        <w:t xml:space="preserve"> O valor encontrado neste caso foi de -1.15, contudo ele não é significativo e não se pode afirmar que ele é estatisticamente diferente de zero, portanto, este pressuposto também é atendido neste trabalho.</w:t>
      </w:r>
    </w:p>
    <w:p w14:paraId="3D6D544F" w14:textId="26483C2F" w:rsidR="00842F00" w:rsidRDefault="00842F00" w:rsidP="00BA6D5B"/>
    <w:p w14:paraId="14C806FB" w14:textId="36C26DFF" w:rsidR="00842F00" w:rsidRDefault="00842F00" w:rsidP="00842F00">
      <w:pPr>
        <w:pStyle w:val="Ttulo2"/>
      </w:pPr>
      <w:r>
        <w:t>EFEITO DA MUDANÇA DA LOA NAS TRANSFERÊNCIAS VOLUNTÁRIAS</w:t>
      </w:r>
    </w:p>
    <w:p w14:paraId="60D2DD5F" w14:textId="14835F5B" w:rsidR="00FC59DF" w:rsidRDefault="00FC59DF" w:rsidP="00BA6D5B"/>
    <w:p w14:paraId="0EEDD15F" w14:textId="7E18DF2B" w:rsidR="00FC59DF" w:rsidRDefault="0028668B" w:rsidP="00BA6D5B">
      <w:r>
        <w:t xml:space="preserve">Para verificar se houve alteração no comportamento dos pequenos municípios devido a alteração na LOA de 2018, foi aplicado o método de </w:t>
      </w:r>
      <w:proofErr w:type="spellStart"/>
      <w:r>
        <w:t>Diff</w:t>
      </w:r>
      <w:proofErr w:type="spellEnd"/>
      <w:r>
        <w:t>-</w:t>
      </w:r>
      <w:proofErr w:type="spellStart"/>
      <w:r>
        <w:t>in-Diff</w:t>
      </w:r>
      <w:proofErr w:type="spellEnd"/>
      <w:r>
        <w:t xml:space="preserve"> no período de 2018-2019. Os resultados estão na Tabela 2.</w:t>
      </w:r>
    </w:p>
    <w:p w14:paraId="1B367A39" w14:textId="10B361C4" w:rsidR="0028668B" w:rsidRDefault="0028668B" w:rsidP="00BA6D5B"/>
    <w:p w14:paraId="4CBA6230" w14:textId="255597F1" w:rsidR="0028668B" w:rsidRDefault="0028668B" w:rsidP="00BA6D5B"/>
    <w:p w14:paraId="5FB2BD7C" w14:textId="671C1C14" w:rsidR="0028668B" w:rsidRDefault="0028668B" w:rsidP="00BA6D5B"/>
    <w:p w14:paraId="3C6E29E5" w14:textId="694A0EFB" w:rsidR="0028668B" w:rsidRDefault="0028668B" w:rsidP="00BA6D5B"/>
    <w:p w14:paraId="592D9663" w14:textId="44EF40B0" w:rsidR="0028668B" w:rsidRDefault="0028668B" w:rsidP="00BA6D5B"/>
    <w:p w14:paraId="299168EB" w14:textId="4A72D610" w:rsidR="0028668B" w:rsidRDefault="0028668B" w:rsidP="00BA6D5B"/>
    <w:p w14:paraId="3413B58B" w14:textId="5326C07D" w:rsidR="0028668B" w:rsidRDefault="0028668B" w:rsidP="0028668B">
      <w:pPr>
        <w:ind w:firstLine="0"/>
        <w:jc w:val="center"/>
      </w:pPr>
      <w:r>
        <w:lastRenderedPageBreak/>
        <w:t xml:space="preserve">Tabela 2: Resultados da regressão de </w:t>
      </w:r>
      <w:proofErr w:type="spellStart"/>
      <w:r>
        <w:t>Diff</w:t>
      </w:r>
      <w:proofErr w:type="spellEnd"/>
      <w:r>
        <w:t>-</w:t>
      </w:r>
      <w:proofErr w:type="spellStart"/>
      <w:r>
        <w:t>in-Diff</w:t>
      </w:r>
      <w:proofErr w:type="spellEnd"/>
    </w:p>
    <w:p w14:paraId="462CE7DF" w14:textId="67CBCC95" w:rsidR="0028668B" w:rsidRDefault="0028668B" w:rsidP="0028668B">
      <w:pPr>
        <w:ind w:firstLine="0"/>
        <w:jc w:val="center"/>
      </w:pPr>
      <w:r w:rsidRPr="0028668B">
        <w:drawing>
          <wp:inline distT="0" distB="0" distL="0" distR="0" wp14:anchorId="10744E18" wp14:editId="58E499A7">
            <wp:extent cx="2029108" cy="2934109"/>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9108" cy="2934109"/>
                    </a:xfrm>
                    <a:prstGeom prst="rect">
                      <a:avLst/>
                    </a:prstGeom>
                  </pic:spPr>
                </pic:pic>
              </a:graphicData>
            </a:graphic>
          </wp:inline>
        </w:drawing>
      </w:r>
    </w:p>
    <w:p w14:paraId="2E6A685C" w14:textId="43325D2D" w:rsidR="00FC59DF" w:rsidRDefault="00FC59DF" w:rsidP="00BA6D5B"/>
    <w:p w14:paraId="7E2D5352" w14:textId="6BC54C87" w:rsidR="00FC59DF" w:rsidRDefault="0028668B" w:rsidP="00BA6D5B">
      <w:r>
        <w:t>Pela leitura da Tabela 2, é possível verificar que a variação da proporção das transferências voluntárias foi 1,9</w:t>
      </w:r>
      <w:r w:rsidR="004D5CBA">
        <w:t xml:space="preserve"> vezes</w:t>
      </w:r>
      <w:r>
        <w:t xml:space="preserve"> maior do que o oco</w:t>
      </w:r>
      <w:r w:rsidR="00647509">
        <w:t>rrido nos grandes municípios. Este valor é estatisticamente significativo ao nível de 5%, indicando que a mudança na LOA realmente refletiu no aumento das transferências voluntárias dos pequenos municípios.</w:t>
      </w:r>
      <w:r>
        <w:t xml:space="preserve"> </w:t>
      </w:r>
      <w:r w:rsidR="00BA06BD">
        <w:t>Para verificar a ro</w:t>
      </w:r>
      <w:r w:rsidR="004D5CBA">
        <w:t>bustez deste achado, será realizada uma análise gráfica de tendências.</w:t>
      </w:r>
    </w:p>
    <w:p w14:paraId="2A23C5DD" w14:textId="62A68784" w:rsidR="00FC59DF" w:rsidRDefault="00FC59DF" w:rsidP="00BA6D5B"/>
    <w:p w14:paraId="64541AC5" w14:textId="422DD459" w:rsidR="005121CC" w:rsidRDefault="005121CC" w:rsidP="005121CC">
      <w:pPr>
        <w:pStyle w:val="Ttulo2"/>
      </w:pPr>
      <w:r>
        <w:t>ANÁLISE GRÁFICA DE TENDÊNCIAS</w:t>
      </w:r>
    </w:p>
    <w:p w14:paraId="509441A0" w14:textId="4245646B" w:rsidR="005121CC" w:rsidRDefault="005121CC" w:rsidP="00BA6D5B"/>
    <w:p w14:paraId="7B2A2CD1" w14:textId="165FB0AD" w:rsidR="00045843" w:rsidRDefault="00045843" w:rsidP="00BA6D5B">
      <w:r>
        <w:t>Um gráfico permite de forma ágil entender os resultados expressos nos resultados anteriores. O Gráfico 1 apresenta os valores médios da proporção de variação das transferências voluntárias para os anos de 2017, 2018 e 2019 tanto para o grupo de tratamento (pequenos municípios) quanto para o grupo de controle (grandes municípios).</w:t>
      </w:r>
    </w:p>
    <w:p w14:paraId="3D84A8B3" w14:textId="77777777" w:rsidR="0059003B" w:rsidRDefault="0059003B" w:rsidP="0059003B">
      <w:r>
        <w:t>De acordo com o Gráfico 1, de 2017 para 2018 os pequenos municípios apresentavam uma tendência de queda da proporção de variação das transferências voluntárias mais acentuada do que os grandes municípios. Contudo, o teste de tendência paralela do pré-tratamento fornece suporte de que esta diferença não é estatisticamente significativa, podendo ser considerada paralela.</w:t>
      </w:r>
    </w:p>
    <w:p w14:paraId="7009A826" w14:textId="77777777" w:rsidR="0059003B" w:rsidRDefault="0059003B" w:rsidP="00BA6D5B"/>
    <w:p w14:paraId="030C28B6" w14:textId="77777777" w:rsidR="005121CC" w:rsidRDefault="005121CC" w:rsidP="00BA6D5B"/>
    <w:p w14:paraId="4CABA6AA" w14:textId="2CD75E32" w:rsidR="005121CC" w:rsidRDefault="00045843" w:rsidP="00045843">
      <w:pPr>
        <w:ind w:firstLine="0"/>
        <w:jc w:val="center"/>
      </w:pPr>
      <w:r>
        <w:lastRenderedPageBreak/>
        <w:t>Gráfico 1: Valores médios da proporção de variação das transferências voluntárias para os anos de 2017, 2018 e 2019 para os grupos de tratamento e controle</w:t>
      </w:r>
    </w:p>
    <w:p w14:paraId="3FA426E4" w14:textId="31CB5859" w:rsidR="005121CC" w:rsidRDefault="00045843" w:rsidP="00045843">
      <w:pPr>
        <w:ind w:firstLine="0"/>
        <w:jc w:val="center"/>
      </w:pPr>
      <w:r w:rsidRPr="00045843">
        <w:drawing>
          <wp:inline distT="0" distB="0" distL="0" distR="0" wp14:anchorId="6109246C" wp14:editId="780DBE2B">
            <wp:extent cx="5760085" cy="414528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145280"/>
                    </a:xfrm>
                    <a:prstGeom prst="rect">
                      <a:avLst/>
                    </a:prstGeom>
                  </pic:spPr>
                </pic:pic>
              </a:graphicData>
            </a:graphic>
          </wp:inline>
        </w:drawing>
      </w:r>
    </w:p>
    <w:p w14:paraId="43FACBBD" w14:textId="77777777" w:rsidR="0043511B" w:rsidRDefault="0043511B" w:rsidP="00BA6D5B"/>
    <w:p w14:paraId="4785BD83" w14:textId="27A5D2D0" w:rsidR="00FC59DF" w:rsidRDefault="00045843" w:rsidP="00BA6D5B">
      <w:r>
        <w:t>O efeito do tratamento é nítido, ao passo que os grandes municípios permanecem aproximadamente com a mesma tendência, os pequenos municípios elevam de forma considerável o patamar das transferências, o que fornece robustez para confirmar a hipótese H</w:t>
      </w:r>
      <w:r w:rsidRPr="00FE1BE0">
        <w:rPr>
          <w:sz w:val="18"/>
          <w:szCs w:val="16"/>
        </w:rPr>
        <w:t>1</w:t>
      </w:r>
      <w:r>
        <w:t>.</w:t>
      </w:r>
    </w:p>
    <w:p w14:paraId="2FCA80BB" w14:textId="06B9428E" w:rsidR="00FC59DF" w:rsidRDefault="00FC59DF" w:rsidP="00BA6D5B"/>
    <w:p w14:paraId="0C3AF30B" w14:textId="2D904D2D" w:rsidR="00FC59DF" w:rsidRDefault="00B60237" w:rsidP="00B60237">
      <w:pPr>
        <w:pStyle w:val="Ttulo2"/>
      </w:pPr>
      <w:r>
        <w:t>CONSIDERAÇÕES ADICIONAIS</w:t>
      </w:r>
    </w:p>
    <w:p w14:paraId="7C8E9B63" w14:textId="77777777" w:rsidR="00FC59DF" w:rsidRDefault="00FC59DF" w:rsidP="00BA6D5B"/>
    <w:p w14:paraId="58F0A599" w14:textId="49018C6C" w:rsidR="001518A7" w:rsidRDefault="00A1565C" w:rsidP="005C40E2">
      <w:r>
        <w:t xml:space="preserve">No método de </w:t>
      </w:r>
      <w:proofErr w:type="spellStart"/>
      <w:r>
        <w:t>Diff</w:t>
      </w:r>
      <w:proofErr w:type="spellEnd"/>
      <w:r>
        <w:t>-</w:t>
      </w:r>
      <w:proofErr w:type="spellStart"/>
      <w:r>
        <w:t>in-Diff</w:t>
      </w:r>
      <w:proofErr w:type="spellEnd"/>
      <w:r>
        <w:t xml:space="preserve"> é preciso levar em consideração variáveis </w:t>
      </w:r>
      <w:r w:rsidR="0059003B">
        <w:t>“</w:t>
      </w:r>
      <w:proofErr w:type="spellStart"/>
      <w:r>
        <w:t>confundidoras</w:t>
      </w:r>
      <w:proofErr w:type="spellEnd"/>
      <w:r w:rsidR="0059003B">
        <w:t>”</w:t>
      </w:r>
      <w:r>
        <w:t xml:space="preserve"> que se alteram no tempo, já que elas representam um risco à causalidade dos achados. Tais variáveis devem ser inseridas como controles. Neste estudo, a maioria das variáveis são relativamente estáveis no tempo, como o Produto Interno Bruto, o Índice de Desenvolvimento Humano municipal e a população. Apesar de haver varia</w:t>
      </w:r>
      <w:r w:rsidR="00544C1C">
        <w:t>ções</w:t>
      </w:r>
      <w:r>
        <w:t xml:space="preserve">, não </w:t>
      </w:r>
      <w:r w:rsidR="00544C1C">
        <w:t xml:space="preserve">se </w:t>
      </w:r>
      <w:r>
        <w:t>espera</w:t>
      </w:r>
      <w:r w:rsidR="00544C1C">
        <w:t xml:space="preserve"> </w:t>
      </w:r>
      <w:r>
        <w:t>que seja</w:t>
      </w:r>
      <w:r w:rsidR="00544C1C">
        <w:t>m</w:t>
      </w:r>
      <w:r>
        <w:t xml:space="preserve"> relevante</w:t>
      </w:r>
      <w:r w:rsidR="00544C1C">
        <w:t>s</w:t>
      </w:r>
      <w:r>
        <w:t xml:space="preserve">, principalmente </w:t>
      </w:r>
      <w:r w:rsidR="00544C1C">
        <w:t>pelo</w:t>
      </w:r>
      <w:r>
        <w:t xml:space="preserve"> estudo envolver uma dimensão temporal relativamente curta (3 anos). Por outro lado, </w:t>
      </w:r>
      <w:r w:rsidR="00544C1C">
        <w:t xml:space="preserve">no ano de 2019 houve o início do mandato de um novo presidente pertencente a um partido de direita e que se opõe a administração anterior. Existe a possibilidade de o novo governante privilegiar o repasse de transferências voluntárias para municípios em </w:t>
      </w:r>
      <w:r w:rsidR="00544C1C">
        <w:lastRenderedPageBreak/>
        <w:t>que o prefeito também seja de direita. Desta forma, uma importante variável a ser controlada é se o posicionamento do partido do município é o mesmo ou não do que o do presidente.</w:t>
      </w:r>
    </w:p>
    <w:p w14:paraId="7BCD5AAD" w14:textId="5DA10063" w:rsidR="001518A7" w:rsidRDefault="00BE55A9" w:rsidP="005C40E2">
      <w:r>
        <w:t>Outra consideração recai sobre as</w:t>
      </w:r>
      <w:r w:rsidR="00544C1C">
        <w:t xml:space="preserve"> três principais fontes </w:t>
      </w:r>
      <w:r>
        <w:t xml:space="preserve">de viés </w:t>
      </w:r>
      <w:r w:rsidR="00544C1C">
        <w:t xml:space="preserve">que podem influenciar a causalidade dos achados: variáveis omitidas, causação reversa e viés de seleção. </w:t>
      </w:r>
      <w:r>
        <w:t>Sobre as</w:t>
      </w:r>
      <w:r w:rsidR="00544C1C">
        <w:t xml:space="preserve"> variáveis omitidas </w:t>
      </w:r>
      <w:r>
        <w:t xml:space="preserve">já </w:t>
      </w:r>
      <w:r w:rsidR="00544C1C">
        <w:t xml:space="preserve">foram feitas diversas considerações. Em relação à causação reversa, não há motivos aparentes para considerar que é o nível das transferências que causou o tratamento, ou seja, que causou a alteração na LDO de 2018. </w:t>
      </w:r>
      <w:r w:rsidR="00CF7711">
        <w:t xml:space="preserve">O principal aspecto </w:t>
      </w:r>
      <w:r>
        <w:t xml:space="preserve">que viabiliza esta percepção </w:t>
      </w:r>
      <w:r w:rsidR="00CF7711">
        <w:t xml:space="preserve">é que a tendência anterior comparativa de pequenos e grandes municípios foi considerada paralela, ou seja, não havia grande discrepância entre a proporção no volume de recursos repassados entre os municípios. </w:t>
      </w:r>
      <w:r>
        <w:t>Em relação ao</w:t>
      </w:r>
      <w:r w:rsidR="00CF7711">
        <w:t xml:space="preserve"> viés de seleção</w:t>
      </w:r>
      <w:r>
        <w:t>, já houve discussão prévia. A</w:t>
      </w:r>
      <w:r w:rsidR="00CF7711">
        <w:t xml:space="preserve"> separação entre pequenos e grandes municípios não é aleatória, o que pode gerar diferentes comportamentos dos grupos e levar a </w:t>
      </w:r>
      <w:r>
        <w:t xml:space="preserve">resultados </w:t>
      </w:r>
      <w:r w:rsidR="00CF7711">
        <w:t xml:space="preserve">potenciais diferentes. O principal respaldo que demonstra que tal fator não </w:t>
      </w:r>
      <w:r>
        <w:t>é</w:t>
      </w:r>
      <w:r w:rsidR="00CF7711">
        <w:t xml:space="preserve"> uma fonte </w:t>
      </w:r>
      <w:r>
        <w:t xml:space="preserve">importante de viés, também </w:t>
      </w:r>
      <w:r w:rsidR="00CF7711">
        <w:t>é tendência</w:t>
      </w:r>
      <w:r>
        <w:t xml:space="preserve"> paralela</w:t>
      </w:r>
      <w:r w:rsidR="00CF7711">
        <w:t xml:space="preserve"> inicial dos grupos de tratamento e controle</w:t>
      </w:r>
      <w:r>
        <w:t>.</w:t>
      </w:r>
      <w:r w:rsidR="00CF7711">
        <w:t xml:space="preserve"> </w:t>
      </w:r>
    </w:p>
    <w:p w14:paraId="365078FC" w14:textId="483E3AB5" w:rsidR="001518A7" w:rsidRDefault="001518A7" w:rsidP="005C40E2"/>
    <w:p w14:paraId="164CFE9F" w14:textId="1A3175B5" w:rsidR="004D61F6" w:rsidRDefault="0043511B" w:rsidP="0043511B">
      <w:pPr>
        <w:pStyle w:val="Ttulo1"/>
      </w:pPr>
      <w:r>
        <w:t>CONCLUSÃO</w:t>
      </w:r>
    </w:p>
    <w:p w14:paraId="41837622" w14:textId="6B57BBE2" w:rsidR="004D61F6" w:rsidRDefault="004D61F6" w:rsidP="005C40E2"/>
    <w:p w14:paraId="1FCFBC86" w14:textId="06D3DB41" w:rsidR="004D61F6" w:rsidRDefault="0043511B" w:rsidP="005C40E2">
      <w:r>
        <w:t xml:space="preserve">Este trabalho apresentou o objetivo de investigar se a alteração na LDO de 2018 impactou positivamente a proporção do recebimento de recursos financeiros de municípios com até 50 mil habitantes no ano seguinte à vigência da LDO. Para isto utilizou-se da metodologia de </w:t>
      </w:r>
      <w:proofErr w:type="spellStart"/>
      <w:r>
        <w:t>Diff</w:t>
      </w:r>
      <w:proofErr w:type="spellEnd"/>
      <w:r>
        <w:t>-</w:t>
      </w:r>
      <w:proofErr w:type="spellStart"/>
      <w:r>
        <w:t>in-Diff</w:t>
      </w:r>
      <w:proofErr w:type="spellEnd"/>
      <w:r>
        <w:t>. Os resultados mostraram que, após a alteração da LDO, os pequenos municípios alteraram de forma significativa o volume da proporção de recebimentos através de transferências voluntárias</w:t>
      </w:r>
      <w:r w:rsidR="00B737C5">
        <w:t>, ao passo que o volume da proporção de recebimentos pelos grandes municípios de manteve praticamente constante, apresentando na verdade uma pequena redução</w:t>
      </w:r>
      <w:r>
        <w:t>.</w:t>
      </w:r>
    </w:p>
    <w:p w14:paraId="1B4FA5D0" w14:textId="7475C8C4" w:rsidR="00B737C5" w:rsidRDefault="00B737C5" w:rsidP="005C40E2">
      <w:r>
        <w:t>Estes resultados se mostraram robustos, uma vez que a tendência do pré-tratamento pôde ser considerada paralela entre os municípios grandes e pequenos e que após o impacto da LDO houve uma expressiva mudança dos recebimentos, como explanado no parágrafo anterior. A análise gráfica mostra claramente o impacto causado pela LDO, em que os grandes municípios praticamente mantiveram a tendência dos recebimentos e houve uma acentuada mudança no comportamento dos pequenos municípios.</w:t>
      </w:r>
    </w:p>
    <w:p w14:paraId="61E301D0" w14:textId="2F4867CB" w:rsidR="00B737C5" w:rsidRDefault="00B737C5" w:rsidP="005C40E2">
      <w:r>
        <w:t xml:space="preserve">A conclusão a partir dos resultados é de que a alteração na LDO, propondo que municípios com até 50 mil habitantes pudessem assinar contratos e instrumentos congêneres mesmo estando inadimplentes no CAUC foi uma forma eficaz de aumentar o volume de recursos recebidos pelos pequenos municípios vias transferências voluntárias. </w:t>
      </w:r>
    </w:p>
    <w:p w14:paraId="0629374C" w14:textId="00A3B22B" w:rsidR="00D42940" w:rsidRPr="0059003B" w:rsidRDefault="0059003B" w:rsidP="0059003B">
      <w:pPr>
        <w:pStyle w:val="Ttulo"/>
      </w:pPr>
      <w:r w:rsidRPr="0059003B">
        <w:lastRenderedPageBreak/>
        <w:t>REFERÊNCIAS</w:t>
      </w:r>
    </w:p>
    <w:p w14:paraId="170405C4" w14:textId="105DF7EA" w:rsidR="009E0BE7" w:rsidRPr="000E7FD2" w:rsidRDefault="009E0BE7" w:rsidP="005C40E2"/>
    <w:p w14:paraId="3B48C064" w14:textId="49D48B18" w:rsidR="00BE55A9" w:rsidRPr="00BE55A9" w:rsidRDefault="00BE55A9" w:rsidP="00BE55A9">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BE55A9">
        <w:t xml:space="preserve"> </w:t>
      </w:r>
      <w:r>
        <w:t xml:space="preserve">BRASIL. </w:t>
      </w:r>
      <w:r w:rsidRPr="00BE55A9">
        <w:rPr>
          <w:rFonts w:cs="Times New Roman"/>
          <w:noProof/>
          <w:szCs w:val="24"/>
        </w:rPr>
        <w:t xml:space="preserve">Constituição da República Federativa do Brasil de 1988. (1998). Brasília. Recuperado em </w:t>
      </w:r>
      <w:r>
        <w:rPr>
          <w:rFonts w:cs="Times New Roman"/>
          <w:noProof/>
          <w:szCs w:val="24"/>
        </w:rPr>
        <w:t>22 de julho de 2020</w:t>
      </w:r>
      <w:r w:rsidRPr="00BE55A9">
        <w:rPr>
          <w:rFonts w:cs="Times New Roman"/>
          <w:noProof/>
          <w:szCs w:val="24"/>
        </w:rPr>
        <w:t>.</w:t>
      </w:r>
    </w:p>
    <w:p w14:paraId="7109823C" w14:textId="311D58D4"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BRASIL. Lei de Responsabilidade Fiscal. (2000).</w:t>
      </w:r>
      <w:r>
        <w:rPr>
          <w:rFonts w:cs="Times New Roman"/>
          <w:noProof/>
          <w:szCs w:val="24"/>
        </w:rPr>
        <w:t xml:space="preserve"> Brasília. </w:t>
      </w:r>
      <w:r w:rsidRPr="00BE55A9">
        <w:rPr>
          <w:rFonts w:cs="Times New Roman"/>
          <w:noProof/>
          <w:szCs w:val="24"/>
        </w:rPr>
        <w:t xml:space="preserve">Recuperado em </w:t>
      </w:r>
      <w:r>
        <w:rPr>
          <w:rFonts w:cs="Times New Roman"/>
          <w:noProof/>
          <w:szCs w:val="24"/>
        </w:rPr>
        <w:t>22 de julho de 2020</w:t>
      </w:r>
      <w:r w:rsidRPr="00BE55A9">
        <w:rPr>
          <w:rFonts w:cs="Times New Roman"/>
          <w:noProof/>
          <w:szCs w:val="24"/>
        </w:rPr>
        <w:t>.</w:t>
      </w:r>
    </w:p>
    <w:p w14:paraId="14D623B2"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Chen, Y. C., Hung, M., &amp; Wang, Y. (2018). The effect of mandatory CSR disclosure on firm profitability and social externalities: Evidence from China. </w:t>
      </w:r>
      <w:r w:rsidRPr="00BE55A9">
        <w:rPr>
          <w:rFonts w:cs="Times New Roman"/>
          <w:i/>
          <w:iCs/>
          <w:noProof/>
          <w:szCs w:val="24"/>
        </w:rPr>
        <w:t>Journal of Accounting and Economics</w:t>
      </w:r>
      <w:r w:rsidRPr="00BE55A9">
        <w:rPr>
          <w:rFonts w:cs="Times New Roman"/>
          <w:noProof/>
          <w:szCs w:val="24"/>
        </w:rPr>
        <w:t xml:space="preserve">, </w:t>
      </w:r>
      <w:r w:rsidRPr="00BE55A9">
        <w:rPr>
          <w:rFonts w:cs="Times New Roman"/>
          <w:i/>
          <w:iCs/>
          <w:noProof/>
          <w:szCs w:val="24"/>
        </w:rPr>
        <w:t>65</w:t>
      </w:r>
      <w:r w:rsidRPr="00BE55A9">
        <w:rPr>
          <w:rFonts w:cs="Times New Roman"/>
          <w:noProof/>
          <w:szCs w:val="24"/>
        </w:rPr>
        <w:t>(1), 169–190. https://doi.org/10.1016/j.jacceco.2017.11.009</w:t>
      </w:r>
    </w:p>
    <w:p w14:paraId="76242CB7"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Chimeli, A. B., &amp; Soares, R. R. (2017). The use of violence in illegal markets: Evidence from mahogany trade in the Brazilian Amazon. </w:t>
      </w:r>
      <w:r w:rsidRPr="00BE55A9">
        <w:rPr>
          <w:rFonts w:cs="Times New Roman"/>
          <w:i/>
          <w:iCs/>
          <w:noProof/>
          <w:szCs w:val="24"/>
        </w:rPr>
        <w:t>American Economic Journal: Applied Economics</w:t>
      </w:r>
      <w:r w:rsidRPr="00BE55A9">
        <w:rPr>
          <w:rFonts w:cs="Times New Roman"/>
          <w:noProof/>
          <w:szCs w:val="24"/>
        </w:rPr>
        <w:t xml:space="preserve">, </w:t>
      </w:r>
      <w:r w:rsidRPr="00BE55A9">
        <w:rPr>
          <w:rFonts w:cs="Times New Roman"/>
          <w:i/>
          <w:iCs/>
          <w:noProof/>
          <w:szCs w:val="24"/>
        </w:rPr>
        <w:t>9</w:t>
      </w:r>
      <w:r w:rsidRPr="00BE55A9">
        <w:rPr>
          <w:rFonts w:cs="Times New Roman"/>
          <w:noProof/>
          <w:szCs w:val="24"/>
        </w:rPr>
        <w:t>(4), 30-57.p. https://doi.org/10.1257/app.20160055</w:t>
      </w:r>
    </w:p>
    <w:p w14:paraId="64D46C81"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Giacomoni, J. (2017). </w:t>
      </w:r>
      <w:r w:rsidRPr="00BE55A9">
        <w:rPr>
          <w:rFonts w:cs="Times New Roman"/>
          <w:i/>
          <w:iCs/>
          <w:noProof/>
          <w:szCs w:val="24"/>
        </w:rPr>
        <w:t>Orçamento público</w:t>
      </w:r>
      <w:r w:rsidRPr="00BE55A9">
        <w:rPr>
          <w:rFonts w:cs="Times New Roman"/>
          <w:noProof/>
          <w:szCs w:val="24"/>
        </w:rPr>
        <w:t xml:space="preserve"> (17</w:t>
      </w:r>
      <w:r w:rsidRPr="00BE55A9">
        <w:rPr>
          <w:rFonts w:cs="Times New Roman"/>
          <w:noProof/>
          <w:szCs w:val="24"/>
          <w:vertAlign w:val="superscript"/>
        </w:rPr>
        <w:t>a</w:t>
      </w:r>
      <w:r w:rsidRPr="00BE55A9">
        <w:rPr>
          <w:rFonts w:cs="Times New Roman"/>
          <w:noProof/>
          <w:szCs w:val="24"/>
        </w:rPr>
        <w:t>). São Paulo: Atlas.</w:t>
      </w:r>
    </w:p>
    <w:p w14:paraId="44536CCD"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Jayaratne, J., &amp; Strahan, P. E. (1996). The Finance-Growth Nexus: Evidence from Bank Branch Deregulation. </w:t>
      </w:r>
      <w:r w:rsidRPr="00BE55A9">
        <w:rPr>
          <w:rFonts w:cs="Times New Roman"/>
          <w:i/>
          <w:iCs/>
          <w:noProof/>
          <w:szCs w:val="24"/>
        </w:rPr>
        <w:t>Oxford University Press</w:t>
      </w:r>
      <w:r w:rsidRPr="00BE55A9">
        <w:rPr>
          <w:rFonts w:cs="Times New Roman"/>
          <w:noProof/>
          <w:szCs w:val="24"/>
        </w:rPr>
        <w:t xml:space="preserve">, </w:t>
      </w:r>
      <w:r w:rsidRPr="00BE55A9">
        <w:rPr>
          <w:rFonts w:cs="Times New Roman"/>
          <w:i/>
          <w:iCs/>
          <w:noProof/>
          <w:szCs w:val="24"/>
        </w:rPr>
        <w:t>111</w:t>
      </w:r>
      <w:r w:rsidRPr="00BE55A9">
        <w:rPr>
          <w:rFonts w:cs="Times New Roman"/>
          <w:noProof/>
          <w:szCs w:val="24"/>
        </w:rPr>
        <w:t>(3), 639–670. https://doi.org/10.2307/2946668</w:t>
      </w:r>
    </w:p>
    <w:p w14:paraId="4F81C971"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Lima, E. C. P. (2015). </w:t>
      </w:r>
      <w:r w:rsidRPr="00BE55A9">
        <w:rPr>
          <w:rFonts w:cs="Times New Roman"/>
          <w:i/>
          <w:iCs/>
          <w:noProof/>
          <w:szCs w:val="24"/>
        </w:rPr>
        <w:t>Curso de finanças públicas: Uma abordagem contemporânea</w:t>
      </w:r>
      <w:r w:rsidRPr="00BE55A9">
        <w:rPr>
          <w:rFonts w:cs="Times New Roman"/>
          <w:noProof/>
          <w:szCs w:val="24"/>
        </w:rPr>
        <w:t>. São Paulo: Atlas.</w:t>
      </w:r>
    </w:p>
    <w:p w14:paraId="4119CD24"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Malesky, E. J., Nguyen, C. V., &amp; Tran, A. (2014). The impact of recentralization on public services: A difference-in- differences analysis of the abolition of elected councils in vietnam. </w:t>
      </w:r>
      <w:r w:rsidRPr="00BE55A9">
        <w:rPr>
          <w:rFonts w:cs="Times New Roman"/>
          <w:i/>
          <w:iCs/>
          <w:noProof/>
          <w:szCs w:val="24"/>
        </w:rPr>
        <w:t>American Political Science Review</w:t>
      </w:r>
      <w:r w:rsidRPr="00BE55A9">
        <w:rPr>
          <w:rFonts w:cs="Times New Roman"/>
          <w:noProof/>
          <w:szCs w:val="24"/>
        </w:rPr>
        <w:t xml:space="preserve">, </w:t>
      </w:r>
      <w:r w:rsidRPr="00BE55A9">
        <w:rPr>
          <w:rFonts w:cs="Times New Roman"/>
          <w:i/>
          <w:iCs/>
          <w:noProof/>
          <w:szCs w:val="24"/>
        </w:rPr>
        <w:t>108</w:t>
      </w:r>
      <w:r w:rsidRPr="00BE55A9">
        <w:rPr>
          <w:rFonts w:cs="Times New Roman"/>
          <w:noProof/>
          <w:szCs w:val="24"/>
        </w:rPr>
        <w:t>(1), 144–168. https://doi.org/10.1017/S0003055413000580</w:t>
      </w:r>
    </w:p>
    <w:p w14:paraId="15DFB6CC" w14:textId="77777777" w:rsidR="00BE55A9" w:rsidRPr="00BE55A9" w:rsidRDefault="00BE55A9" w:rsidP="00BE55A9">
      <w:pPr>
        <w:widowControl w:val="0"/>
        <w:autoSpaceDE w:val="0"/>
        <w:autoSpaceDN w:val="0"/>
        <w:adjustRightInd w:val="0"/>
        <w:ind w:left="480" w:hanging="480"/>
        <w:rPr>
          <w:rFonts w:cs="Times New Roman"/>
          <w:noProof/>
          <w:szCs w:val="24"/>
        </w:rPr>
      </w:pPr>
      <w:r w:rsidRPr="00BE55A9">
        <w:rPr>
          <w:rFonts w:cs="Times New Roman"/>
          <w:noProof/>
          <w:szCs w:val="24"/>
        </w:rPr>
        <w:t xml:space="preserve">Mithani, M. A. (2017). Liability of foreignness, natural disasters, and corporate philanthropy. </w:t>
      </w:r>
      <w:r w:rsidRPr="00BE55A9">
        <w:rPr>
          <w:rFonts w:cs="Times New Roman"/>
          <w:i/>
          <w:iCs/>
          <w:noProof/>
          <w:szCs w:val="24"/>
        </w:rPr>
        <w:t>Journal of International Business Studies</w:t>
      </w:r>
      <w:r w:rsidRPr="00BE55A9">
        <w:rPr>
          <w:rFonts w:cs="Times New Roman"/>
          <w:noProof/>
          <w:szCs w:val="24"/>
        </w:rPr>
        <w:t xml:space="preserve">, </w:t>
      </w:r>
      <w:r w:rsidRPr="00BE55A9">
        <w:rPr>
          <w:rFonts w:cs="Times New Roman"/>
          <w:i/>
          <w:iCs/>
          <w:noProof/>
          <w:szCs w:val="24"/>
        </w:rPr>
        <w:t>48</w:t>
      </w:r>
      <w:r w:rsidRPr="00BE55A9">
        <w:rPr>
          <w:rFonts w:cs="Times New Roman"/>
          <w:noProof/>
          <w:szCs w:val="24"/>
        </w:rPr>
        <w:t>(8), 941–963. https://doi.org/10.1057/s41267-017-0104-x</w:t>
      </w:r>
    </w:p>
    <w:p w14:paraId="427465FC" w14:textId="77777777" w:rsidR="00BE55A9" w:rsidRPr="00BE55A9" w:rsidRDefault="00BE55A9" w:rsidP="00BE55A9">
      <w:pPr>
        <w:widowControl w:val="0"/>
        <w:autoSpaceDE w:val="0"/>
        <w:autoSpaceDN w:val="0"/>
        <w:adjustRightInd w:val="0"/>
        <w:ind w:left="480" w:hanging="480"/>
        <w:rPr>
          <w:rFonts w:cs="Times New Roman"/>
          <w:noProof/>
        </w:rPr>
      </w:pPr>
      <w:r w:rsidRPr="00BE55A9">
        <w:rPr>
          <w:rFonts w:cs="Times New Roman"/>
          <w:noProof/>
          <w:szCs w:val="24"/>
        </w:rPr>
        <w:t xml:space="preserve">Schiozer, R. F., Mourad, F. A., &amp; Martins, T. C. (2021). A Tutorial on the Use of Differences-in-Differences in Management, Finance, and Accounting. </w:t>
      </w:r>
      <w:r w:rsidRPr="00BE55A9">
        <w:rPr>
          <w:rFonts w:cs="Times New Roman"/>
          <w:i/>
          <w:iCs/>
          <w:noProof/>
          <w:szCs w:val="24"/>
        </w:rPr>
        <w:t>Journal of Contemporary Administration</w:t>
      </w:r>
      <w:r w:rsidRPr="00BE55A9">
        <w:rPr>
          <w:rFonts w:cs="Times New Roman"/>
          <w:noProof/>
          <w:szCs w:val="24"/>
        </w:rPr>
        <w:t xml:space="preserve">, </w:t>
      </w:r>
      <w:r w:rsidRPr="00BE55A9">
        <w:rPr>
          <w:rFonts w:cs="Times New Roman"/>
          <w:i/>
          <w:iCs/>
          <w:noProof/>
          <w:szCs w:val="24"/>
        </w:rPr>
        <w:t>25</w:t>
      </w:r>
      <w:r w:rsidRPr="00BE55A9">
        <w:rPr>
          <w:rFonts w:cs="Times New Roman"/>
          <w:noProof/>
          <w:szCs w:val="24"/>
        </w:rPr>
        <w:t>(1), 1–19. https://doi.org/https://doi.org/10.1590/1982-7849rac2021200067</w:t>
      </w:r>
    </w:p>
    <w:p w14:paraId="521048CC" w14:textId="28A481E9" w:rsidR="009F3C45" w:rsidRPr="000E7FD2" w:rsidRDefault="00BE55A9" w:rsidP="00BE55A9">
      <w:pPr>
        <w:ind w:firstLine="0"/>
      </w:pPr>
      <w:r>
        <w:fldChar w:fldCharType="end"/>
      </w:r>
    </w:p>
    <w:sectPr w:rsidR="009F3C45" w:rsidRPr="000E7FD2" w:rsidSect="005C40E2">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BB859" w14:textId="77777777" w:rsidR="00D24079" w:rsidRDefault="00D24079" w:rsidP="00A1160D">
      <w:pPr>
        <w:spacing w:line="240" w:lineRule="auto"/>
      </w:pPr>
      <w:r>
        <w:separator/>
      </w:r>
    </w:p>
  </w:endnote>
  <w:endnote w:type="continuationSeparator" w:id="0">
    <w:p w14:paraId="068AE0DE" w14:textId="77777777" w:rsidR="00D24079" w:rsidRDefault="00D24079" w:rsidP="00A11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1A6D6" w14:textId="7ED2A086" w:rsidR="00FB2988" w:rsidRDefault="00FB2988" w:rsidP="00000A7F">
    <w:pPr>
      <w:pStyle w:val="Rodap"/>
      <w:tabs>
        <w:tab w:val="clear" w:pos="4252"/>
        <w:tab w:val="clear" w:pos="8504"/>
        <w:tab w:val="left" w:pos="31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ACAE3" w14:textId="77777777" w:rsidR="00D24079" w:rsidRDefault="00D24079" w:rsidP="00EA33BF">
      <w:pPr>
        <w:spacing w:line="240" w:lineRule="auto"/>
        <w:ind w:firstLine="0"/>
      </w:pPr>
      <w:r>
        <w:separator/>
      </w:r>
    </w:p>
  </w:footnote>
  <w:footnote w:type="continuationSeparator" w:id="0">
    <w:p w14:paraId="3DF92248" w14:textId="77777777" w:rsidR="00D24079" w:rsidRDefault="00D24079" w:rsidP="00A1160D">
      <w:pPr>
        <w:spacing w:line="240" w:lineRule="auto"/>
      </w:pPr>
      <w:r>
        <w:continuationSeparator/>
      </w:r>
    </w:p>
  </w:footnote>
  <w:footnote w:id="1">
    <w:p w14:paraId="321988E4" w14:textId="42009D3F" w:rsidR="00FB2988" w:rsidRDefault="00FB2988">
      <w:pPr>
        <w:pStyle w:val="Textodenotaderodap"/>
      </w:pPr>
      <w:r>
        <w:rPr>
          <w:rStyle w:val="Refdenotaderodap"/>
        </w:rPr>
        <w:footnoteRef/>
      </w:r>
      <w:r>
        <w:t xml:space="preserve"> </w:t>
      </w:r>
      <w:hyperlink r:id="rId1" w:history="1">
        <w:r>
          <w:rPr>
            <w:rStyle w:val="Hyperlink"/>
          </w:rPr>
          <w:t>https://www.i9treinamentos.com/emenda-na-ldo-deve-beneficiar-cidades-de-ate-50-mil-habitantes/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699697"/>
      <w:docPartObj>
        <w:docPartGallery w:val="Page Numbers (Top of Page)"/>
        <w:docPartUnique/>
      </w:docPartObj>
    </w:sdtPr>
    <w:sdtContent>
      <w:p w14:paraId="3BE8C940" w14:textId="156FC210" w:rsidR="00FB2988" w:rsidRDefault="00FB2988">
        <w:pPr>
          <w:pStyle w:val="Cabealho"/>
          <w:jc w:val="right"/>
        </w:pPr>
      </w:p>
    </w:sdtContent>
  </w:sdt>
  <w:p w14:paraId="6B8EC6B1" w14:textId="73D71036" w:rsidR="00FB2988" w:rsidRPr="00F97298" w:rsidRDefault="00FB2988" w:rsidP="000D2DA1">
    <w:pPr>
      <w:pStyle w:val="Cabealho"/>
      <w:tabs>
        <w:tab w:val="clear" w:pos="4252"/>
        <w:tab w:val="clear" w:pos="8504"/>
        <w:tab w:val="left" w:pos="0"/>
        <w:tab w:val="right" w:pos="9071"/>
      </w:tabs>
      <w:ind w:firstLine="0"/>
      <w:jc w:val="right"/>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6BCE3" w14:textId="77777777" w:rsidR="00FB2988" w:rsidRDefault="00FB2988" w:rsidP="00F926AB">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236285"/>
      <w:docPartObj>
        <w:docPartGallery w:val="Page Numbers (Top of Page)"/>
        <w:docPartUnique/>
      </w:docPartObj>
    </w:sdtPr>
    <w:sdtContent>
      <w:p w14:paraId="7D6259A8" w14:textId="77777777" w:rsidR="00FB2988" w:rsidRDefault="00FB2988">
        <w:pPr>
          <w:pStyle w:val="Cabealho"/>
          <w:jc w:val="right"/>
        </w:pPr>
        <w:r>
          <w:fldChar w:fldCharType="begin"/>
        </w:r>
        <w:r w:rsidRPr="000D2DA1">
          <w:instrText>PAGE   \* MERGEFORMAT</w:instrText>
        </w:r>
        <w:r>
          <w:fldChar w:fldCharType="separate"/>
        </w:r>
        <w:r>
          <w:rPr>
            <w:noProof/>
          </w:rPr>
          <w:t>92</w:t>
        </w:r>
        <w:r>
          <w:fldChar w:fldCharType="end"/>
        </w:r>
      </w:p>
    </w:sdtContent>
  </w:sdt>
  <w:p w14:paraId="41167413" w14:textId="77777777" w:rsidR="00FB2988" w:rsidRDefault="00FB2988" w:rsidP="00F926A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33A"/>
    <w:multiLevelType w:val="hybridMultilevel"/>
    <w:tmpl w:val="F80EF140"/>
    <w:lvl w:ilvl="0" w:tplc="2884C26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B9F23CE"/>
    <w:multiLevelType w:val="multilevel"/>
    <w:tmpl w:val="FA6EDD5A"/>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decimal"/>
      <w:pStyle w:val="Ttulo9"/>
      <w:suff w:val="space"/>
      <w:lvlText w:val="%1.%2.%3.%4.%5.%6.%7.%8.%9"/>
      <w:lvlJc w:val="left"/>
      <w:pPr>
        <w:ind w:left="0" w:firstLine="0"/>
      </w:pPr>
      <w:rPr>
        <w:rFonts w:hint="default"/>
      </w:rPr>
    </w:lvl>
  </w:abstractNum>
  <w:abstractNum w:abstractNumId="2" w15:restartNumberingAfterBreak="0">
    <w:nsid w:val="492D00C5"/>
    <w:multiLevelType w:val="hybridMultilevel"/>
    <w:tmpl w:val="4C802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94A6CDF"/>
    <w:multiLevelType w:val="multilevel"/>
    <w:tmpl w:val="5C38289A"/>
    <w:name w:val="Bruto2"/>
    <w:lvl w:ilvl="0">
      <w:start w:val="1"/>
      <w:numFmt w:val="decimal"/>
      <w:suff w:val="space"/>
      <w:lvlText w:val="%1"/>
      <w:lvlJc w:val="left"/>
      <w:pPr>
        <w:ind w:left="0" w:firstLine="0"/>
      </w:pPr>
      <w:rPr>
        <w:rFonts w:ascii="Times New Roman" w:hAnsi="Times New Roman" w:hint="default"/>
        <w:b/>
        <w:i w:val="0"/>
        <w:sz w:val="24"/>
      </w:rPr>
    </w:lvl>
    <w:lvl w:ilvl="1">
      <w:start w:val="1"/>
      <w:numFmt w:val="decimal"/>
      <w:suff w:val="space"/>
      <w:lvlText w:val="%1.%2"/>
      <w:lvlJc w:val="left"/>
      <w:pPr>
        <w:ind w:left="0" w:firstLine="0"/>
      </w:pPr>
      <w:rPr>
        <w:rFonts w:ascii="Times New Roman" w:hAnsi="Times New Roman" w:hint="default"/>
        <w:b w:val="0"/>
        <w:i w:val="0"/>
        <w:sz w:val="24"/>
      </w:rPr>
    </w:lvl>
    <w:lvl w:ilvl="2">
      <w:start w:val="1"/>
      <w:numFmt w:val="decimal"/>
      <w:suff w:val="space"/>
      <w:lvlText w:val="%1.%2.%3"/>
      <w:lvlJc w:val="left"/>
      <w:pPr>
        <w:ind w:left="0" w:firstLine="0"/>
      </w:pPr>
      <w:rPr>
        <w:rFonts w:ascii="Times New Roman" w:hAnsi="Times New Roman"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B4C7484"/>
    <w:multiLevelType w:val="multilevel"/>
    <w:tmpl w:val="3446B58C"/>
    <w:name w:val="Bruto"/>
    <w:lvl w:ilvl="0">
      <w:start w:val="1"/>
      <w:numFmt w:val="decimal"/>
      <w:suff w:val="space"/>
      <w:lvlText w:val="%1"/>
      <w:lvlJc w:val="left"/>
      <w:pPr>
        <w:ind w:left="0" w:firstLine="0"/>
      </w:pPr>
      <w:rPr>
        <w:rFonts w:ascii="Times New Roman" w:hAnsi="Times New Roman" w:hint="default"/>
        <w:b/>
        <w:i w:val="0"/>
        <w:sz w:val="24"/>
      </w:rPr>
    </w:lvl>
    <w:lvl w:ilvl="1">
      <w:start w:val="1"/>
      <w:numFmt w:val="decimal"/>
      <w:suff w:val="space"/>
      <w:lvlText w:val="%1.%2"/>
      <w:lvlJc w:val="left"/>
      <w:pPr>
        <w:ind w:left="0" w:firstLine="0"/>
      </w:pPr>
      <w:rPr>
        <w:rFonts w:ascii="Times New Roman" w:hAnsi="Times New Roman" w:hint="default"/>
        <w:b w:val="0"/>
        <w:i w:val="0"/>
        <w:sz w:val="24"/>
      </w:rPr>
    </w:lvl>
    <w:lvl w:ilvl="2">
      <w:start w:val="1"/>
      <w:numFmt w:val="decimal"/>
      <w:suff w:val="space"/>
      <w:lvlText w:val="%1.%2.%3"/>
      <w:lvlJc w:val="left"/>
      <w:pPr>
        <w:ind w:left="0" w:firstLine="0"/>
      </w:pPr>
      <w:rPr>
        <w:rFonts w:ascii="Times New Roman" w:hAnsi="Times New Roman"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D7F2663"/>
    <w:multiLevelType w:val="hybridMultilevel"/>
    <w:tmpl w:val="6EFE96AA"/>
    <w:lvl w:ilvl="0" w:tplc="DEA638C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6598555D"/>
    <w:multiLevelType w:val="hybridMultilevel"/>
    <w:tmpl w:val="83A26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EA174A"/>
    <w:multiLevelType w:val="hybridMultilevel"/>
    <w:tmpl w:val="B97AF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76D700C"/>
    <w:multiLevelType w:val="hybridMultilevel"/>
    <w:tmpl w:val="BDB2E9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85E0185"/>
    <w:multiLevelType w:val="hybridMultilevel"/>
    <w:tmpl w:val="EE0CDF18"/>
    <w:lvl w:ilvl="0" w:tplc="04160011">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78DC5C5D"/>
    <w:multiLevelType w:val="hybridMultilevel"/>
    <w:tmpl w:val="5F2EF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0"/>
  </w:num>
  <w:num w:numId="5">
    <w:abstractNumId w:val="5"/>
  </w:num>
  <w:num w:numId="6">
    <w:abstractNumId w:val="10"/>
  </w:num>
  <w:num w:numId="7">
    <w:abstractNumId w:val="6"/>
  </w:num>
  <w:num w:numId="8">
    <w:abstractNumId w:val="2"/>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AB"/>
    <w:rsid w:val="00000224"/>
    <w:rsid w:val="00000399"/>
    <w:rsid w:val="00000917"/>
    <w:rsid w:val="00000A7F"/>
    <w:rsid w:val="00000C5B"/>
    <w:rsid w:val="00001587"/>
    <w:rsid w:val="00002ED5"/>
    <w:rsid w:val="0000301F"/>
    <w:rsid w:val="00003336"/>
    <w:rsid w:val="000053BC"/>
    <w:rsid w:val="0000567B"/>
    <w:rsid w:val="00006337"/>
    <w:rsid w:val="000072DE"/>
    <w:rsid w:val="00007853"/>
    <w:rsid w:val="00007A51"/>
    <w:rsid w:val="000102D5"/>
    <w:rsid w:val="00010328"/>
    <w:rsid w:val="00010521"/>
    <w:rsid w:val="00010B62"/>
    <w:rsid w:val="000113B1"/>
    <w:rsid w:val="00011CF1"/>
    <w:rsid w:val="000129A6"/>
    <w:rsid w:val="000137FC"/>
    <w:rsid w:val="00013E85"/>
    <w:rsid w:val="00013EF3"/>
    <w:rsid w:val="0001407D"/>
    <w:rsid w:val="00014415"/>
    <w:rsid w:val="00015509"/>
    <w:rsid w:val="00016F93"/>
    <w:rsid w:val="00017AE5"/>
    <w:rsid w:val="00017E11"/>
    <w:rsid w:val="0002032D"/>
    <w:rsid w:val="000207B4"/>
    <w:rsid w:val="00020BF9"/>
    <w:rsid w:val="00022086"/>
    <w:rsid w:val="000226D9"/>
    <w:rsid w:val="00022934"/>
    <w:rsid w:val="000240FC"/>
    <w:rsid w:val="00024202"/>
    <w:rsid w:val="00024247"/>
    <w:rsid w:val="0002501C"/>
    <w:rsid w:val="00025400"/>
    <w:rsid w:val="00025812"/>
    <w:rsid w:val="0002628D"/>
    <w:rsid w:val="00026585"/>
    <w:rsid w:val="00027505"/>
    <w:rsid w:val="000304EF"/>
    <w:rsid w:val="0003091D"/>
    <w:rsid w:val="00031B61"/>
    <w:rsid w:val="00033616"/>
    <w:rsid w:val="00034E0B"/>
    <w:rsid w:val="000359C5"/>
    <w:rsid w:val="00035D5A"/>
    <w:rsid w:val="00035F9E"/>
    <w:rsid w:val="00036DF2"/>
    <w:rsid w:val="00037076"/>
    <w:rsid w:val="000372AE"/>
    <w:rsid w:val="0003787D"/>
    <w:rsid w:val="000403C9"/>
    <w:rsid w:val="00040952"/>
    <w:rsid w:val="00041C2A"/>
    <w:rsid w:val="00042F92"/>
    <w:rsid w:val="00043062"/>
    <w:rsid w:val="00043607"/>
    <w:rsid w:val="000437F5"/>
    <w:rsid w:val="00043F12"/>
    <w:rsid w:val="00044062"/>
    <w:rsid w:val="00045843"/>
    <w:rsid w:val="00045D07"/>
    <w:rsid w:val="00046B1F"/>
    <w:rsid w:val="00047205"/>
    <w:rsid w:val="00047968"/>
    <w:rsid w:val="0005012B"/>
    <w:rsid w:val="0005111A"/>
    <w:rsid w:val="0005135A"/>
    <w:rsid w:val="000524CC"/>
    <w:rsid w:val="000528FD"/>
    <w:rsid w:val="00052942"/>
    <w:rsid w:val="00053222"/>
    <w:rsid w:val="0005475E"/>
    <w:rsid w:val="000549D3"/>
    <w:rsid w:val="00054AA6"/>
    <w:rsid w:val="00054C3D"/>
    <w:rsid w:val="00055268"/>
    <w:rsid w:val="00055465"/>
    <w:rsid w:val="0005561C"/>
    <w:rsid w:val="00056CDF"/>
    <w:rsid w:val="000570FE"/>
    <w:rsid w:val="000571B5"/>
    <w:rsid w:val="00057EA1"/>
    <w:rsid w:val="00057F07"/>
    <w:rsid w:val="0006039E"/>
    <w:rsid w:val="00060B30"/>
    <w:rsid w:val="00061020"/>
    <w:rsid w:val="000610E7"/>
    <w:rsid w:val="0006116D"/>
    <w:rsid w:val="000617E3"/>
    <w:rsid w:val="00061A06"/>
    <w:rsid w:val="00063413"/>
    <w:rsid w:val="00063964"/>
    <w:rsid w:val="00064859"/>
    <w:rsid w:val="000659F4"/>
    <w:rsid w:val="00066038"/>
    <w:rsid w:val="00066AC6"/>
    <w:rsid w:val="00067CCC"/>
    <w:rsid w:val="00067FC7"/>
    <w:rsid w:val="00070358"/>
    <w:rsid w:val="00070573"/>
    <w:rsid w:val="0007088C"/>
    <w:rsid w:val="00070CE9"/>
    <w:rsid w:val="000712E9"/>
    <w:rsid w:val="00073252"/>
    <w:rsid w:val="00073802"/>
    <w:rsid w:val="00073C98"/>
    <w:rsid w:val="00074DEC"/>
    <w:rsid w:val="00075A53"/>
    <w:rsid w:val="00076DF5"/>
    <w:rsid w:val="0007781E"/>
    <w:rsid w:val="00077FF2"/>
    <w:rsid w:val="000813FB"/>
    <w:rsid w:val="00081BA1"/>
    <w:rsid w:val="00082AAC"/>
    <w:rsid w:val="000834BE"/>
    <w:rsid w:val="00083EE2"/>
    <w:rsid w:val="00083F73"/>
    <w:rsid w:val="000841E6"/>
    <w:rsid w:val="00084CAB"/>
    <w:rsid w:val="00084D98"/>
    <w:rsid w:val="00085973"/>
    <w:rsid w:val="00086DF1"/>
    <w:rsid w:val="0008720B"/>
    <w:rsid w:val="0008742B"/>
    <w:rsid w:val="00090064"/>
    <w:rsid w:val="00090D1D"/>
    <w:rsid w:val="00091595"/>
    <w:rsid w:val="00091976"/>
    <w:rsid w:val="00091CBD"/>
    <w:rsid w:val="00092A9A"/>
    <w:rsid w:val="00092E20"/>
    <w:rsid w:val="00092FFB"/>
    <w:rsid w:val="00093C8E"/>
    <w:rsid w:val="00093F31"/>
    <w:rsid w:val="00094505"/>
    <w:rsid w:val="00094A03"/>
    <w:rsid w:val="00094A74"/>
    <w:rsid w:val="000950AB"/>
    <w:rsid w:val="00095812"/>
    <w:rsid w:val="00095BAE"/>
    <w:rsid w:val="00095CB8"/>
    <w:rsid w:val="000965DF"/>
    <w:rsid w:val="000974EA"/>
    <w:rsid w:val="00097EAD"/>
    <w:rsid w:val="000A0059"/>
    <w:rsid w:val="000A0E19"/>
    <w:rsid w:val="000A0ED6"/>
    <w:rsid w:val="000A12B8"/>
    <w:rsid w:val="000A1571"/>
    <w:rsid w:val="000A1C04"/>
    <w:rsid w:val="000A22BB"/>
    <w:rsid w:val="000A2AF6"/>
    <w:rsid w:val="000A38C1"/>
    <w:rsid w:val="000A3ABF"/>
    <w:rsid w:val="000A3E56"/>
    <w:rsid w:val="000A4549"/>
    <w:rsid w:val="000A4737"/>
    <w:rsid w:val="000A570C"/>
    <w:rsid w:val="000A61BB"/>
    <w:rsid w:val="000A6EA7"/>
    <w:rsid w:val="000A7FF3"/>
    <w:rsid w:val="000B06AD"/>
    <w:rsid w:val="000B0788"/>
    <w:rsid w:val="000B0A57"/>
    <w:rsid w:val="000B1A46"/>
    <w:rsid w:val="000B1F62"/>
    <w:rsid w:val="000B3BB7"/>
    <w:rsid w:val="000B3E0B"/>
    <w:rsid w:val="000B4698"/>
    <w:rsid w:val="000B4A9D"/>
    <w:rsid w:val="000B4CFF"/>
    <w:rsid w:val="000B5EFB"/>
    <w:rsid w:val="000B61AE"/>
    <w:rsid w:val="000B6F34"/>
    <w:rsid w:val="000B74B7"/>
    <w:rsid w:val="000B7E02"/>
    <w:rsid w:val="000C00CE"/>
    <w:rsid w:val="000C2E77"/>
    <w:rsid w:val="000C3505"/>
    <w:rsid w:val="000C543B"/>
    <w:rsid w:val="000C55EF"/>
    <w:rsid w:val="000C5C94"/>
    <w:rsid w:val="000C5FC0"/>
    <w:rsid w:val="000C5FD1"/>
    <w:rsid w:val="000C6651"/>
    <w:rsid w:val="000C66D2"/>
    <w:rsid w:val="000C6B6E"/>
    <w:rsid w:val="000C76F0"/>
    <w:rsid w:val="000C77BF"/>
    <w:rsid w:val="000C7971"/>
    <w:rsid w:val="000C7C2D"/>
    <w:rsid w:val="000C7D76"/>
    <w:rsid w:val="000C7F91"/>
    <w:rsid w:val="000D0F7B"/>
    <w:rsid w:val="000D20CD"/>
    <w:rsid w:val="000D2367"/>
    <w:rsid w:val="000D2DA1"/>
    <w:rsid w:val="000D3461"/>
    <w:rsid w:val="000D3CCC"/>
    <w:rsid w:val="000D51BE"/>
    <w:rsid w:val="000D52CA"/>
    <w:rsid w:val="000D5E47"/>
    <w:rsid w:val="000D68B6"/>
    <w:rsid w:val="000D722B"/>
    <w:rsid w:val="000D7A70"/>
    <w:rsid w:val="000E0548"/>
    <w:rsid w:val="000E0734"/>
    <w:rsid w:val="000E0C9B"/>
    <w:rsid w:val="000E1205"/>
    <w:rsid w:val="000E14E3"/>
    <w:rsid w:val="000E196D"/>
    <w:rsid w:val="000E2928"/>
    <w:rsid w:val="000E3177"/>
    <w:rsid w:val="000E398D"/>
    <w:rsid w:val="000E3C24"/>
    <w:rsid w:val="000E3D85"/>
    <w:rsid w:val="000E486C"/>
    <w:rsid w:val="000E4A53"/>
    <w:rsid w:val="000E50E5"/>
    <w:rsid w:val="000E5CC5"/>
    <w:rsid w:val="000E61B7"/>
    <w:rsid w:val="000E66C3"/>
    <w:rsid w:val="000E6880"/>
    <w:rsid w:val="000E6CF4"/>
    <w:rsid w:val="000E70E2"/>
    <w:rsid w:val="000E79A7"/>
    <w:rsid w:val="000E7F9B"/>
    <w:rsid w:val="000E7FD2"/>
    <w:rsid w:val="000F0380"/>
    <w:rsid w:val="000F08B3"/>
    <w:rsid w:val="000F0BDF"/>
    <w:rsid w:val="000F12C1"/>
    <w:rsid w:val="000F15FC"/>
    <w:rsid w:val="000F1925"/>
    <w:rsid w:val="000F2497"/>
    <w:rsid w:val="000F24D0"/>
    <w:rsid w:val="000F2743"/>
    <w:rsid w:val="000F2CE6"/>
    <w:rsid w:val="000F4019"/>
    <w:rsid w:val="000F42C6"/>
    <w:rsid w:val="000F4801"/>
    <w:rsid w:val="000F4B62"/>
    <w:rsid w:val="000F4FA5"/>
    <w:rsid w:val="000F59E3"/>
    <w:rsid w:val="000F5E0C"/>
    <w:rsid w:val="000F7250"/>
    <w:rsid w:val="00100253"/>
    <w:rsid w:val="00101966"/>
    <w:rsid w:val="0010197D"/>
    <w:rsid w:val="00101E2A"/>
    <w:rsid w:val="00101FB8"/>
    <w:rsid w:val="00102719"/>
    <w:rsid w:val="00102C85"/>
    <w:rsid w:val="00103D75"/>
    <w:rsid w:val="00103DD5"/>
    <w:rsid w:val="00103E0C"/>
    <w:rsid w:val="00103ED9"/>
    <w:rsid w:val="0010454F"/>
    <w:rsid w:val="001049A1"/>
    <w:rsid w:val="00104AEF"/>
    <w:rsid w:val="00104BDA"/>
    <w:rsid w:val="0010649D"/>
    <w:rsid w:val="00106E14"/>
    <w:rsid w:val="00107780"/>
    <w:rsid w:val="00107A39"/>
    <w:rsid w:val="00107C99"/>
    <w:rsid w:val="00110275"/>
    <w:rsid w:val="00111B08"/>
    <w:rsid w:val="00111F18"/>
    <w:rsid w:val="001129AD"/>
    <w:rsid w:val="001145A4"/>
    <w:rsid w:val="00114940"/>
    <w:rsid w:val="001159C7"/>
    <w:rsid w:val="00115FA1"/>
    <w:rsid w:val="001164B0"/>
    <w:rsid w:val="001173EE"/>
    <w:rsid w:val="00117C98"/>
    <w:rsid w:val="001209C3"/>
    <w:rsid w:val="00121856"/>
    <w:rsid w:val="00121C15"/>
    <w:rsid w:val="00122532"/>
    <w:rsid w:val="00122DA6"/>
    <w:rsid w:val="001230B5"/>
    <w:rsid w:val="0012310A"/>
    <w:rsid w:val="001233B8"/>
    <w:rsid w:val="00124C29"/>
    <w:rsid w:val="00125246"/>
    <w:rsid w:val="00125625"/>
    <w:rsid w:val="001256AF"/>
    <w:rsid w:val="001267EE"/>
    <w:rsid w:val="001275C4"/>
    <w:rsid w:val="00127774"/>
    <w:rsid w:val="00127D4C"/>
    <w:rsid w:val="001303E6"/>
    <w:rsid w:val="00130638"/>
    <w:rsid w:val="00130AE4"/>
    <w:rsid w:val="001317DC"/>
    <w:rsid w:val="00131861"/>
    <w:rsid w:val="00131C83"/>
    <w:rsid w:val="0013244E"/>
    <w:rsid w:val="00132872"/>
    <w:rsid w:val="00132DFD"/>
    <w:rsid w:val="00133BD2"/>
    <w:rsid w:val="00133F2F"/>
    <w:rsid w:val="00134123"/>
    <w:rsid w:val="0013589C"/>
    <w:rsid w:val="00135920"/>
    <w:rsid w:val="00135BBA"/>
    <w:rsid w:val="00135DE1"/>
    <w:rsid w:val="001379BF"/>
    <w:rsid w:val="00137D55"/>
    <w:rsid w:val="001403E2"/>
    <w:rsid w:val="00140EBC"/>
    <w:rsid w:val="0014105A"/>
    <w:rsid w:val="00141220"/>
    <w:rsid w:val="0014138C"/>
    <w:rsid w:val="00141C5C"/>
    <w:rsid w:val="00142A91"/>
    <w:rsid w:val="00143A37"/>
    <w:rsid w:val="00143C65"/>
    <w:rsid w:val="00144F46"/>
    <w:rsid w:val="001451FC"/>
    <w:rsid w:val="0014546B"/>
    <w:rsid w:val="001456D7"/>
    <w:rsid w:val="00145AE8"/>
    <w:rsid w:val="001471D3"/>
    <w:rsid w:val="001478FC"/>
    <w:rsid w:val="00147C04"/>
    <w:rsid w:val="00147D91"/>
    <w:rsid w:val="0015091E"/>
    <w:rsid w:val="00150BD6"/>
    <w:rsid w:val="00150CB3"/>
    <w:rsid w:val="001514BB"/>
    <w:rsid w:val="001515BB"/>
    <w:rsid w:val="001518A7"/>
    <w:rsid w:val="00151B88"/>
    <w:rsid w:val="00152341"/>
    <w:rsid w:val="00152A0D"/>
    <w:rsid w:val="00152CCA"/>
    <w:rsid w:val="00152EE5"/>
    <w:rsid w:val="00153130"/>
    <w:rsid w:val="0015375F"/>
    <w:rsid w:val="00155E5D"/>
    <w:rsid w:val="0015776D"/>
    <w:rsid w:val="00157CC6"/>
    <w:rsid w:val="00157E5C"/>
    <w:rsid w:val="00160C04"/>
    <w:rsid w:val="00160CCC"/>
    <w:rsid w:val="00160FBC"/>
    <w:rsid w:val="0016266A"/>
    <w:rsid w:val="0016296A"/>
    <w:rsid w:val="00163D4C"/>
    <w:rsid w:val="00164307"/>
    <w:rsid w:val="00164415"/>
    <w:rsid w:val="00164A01"/>
    <w:rsid w:val="0016526F"/>
    <w:rsid w:val="00165838"/>
    <w:rsid w:val="00165DF8"/>
    <w:rsid w:val="0016643B"/>
    <w:rsid w:val="001665BE"/>
    <w:rsid w:val="001669EF"/>
    <w:rsid w:val="00166B45"/>
    <w:rsid w:val="00166F1D"/>
    <w:rsid w:val="0016707D"/>
    <w:rsid w:val="0016781A"/>
    <w:rsid w:val="001706AF"/>
    <w:rsid w:val="00170852"/>
    <w:rsid w:val="00172891"/>
    <w:rsid w:val="00172DE4"/>
    <w:rsid w:val="001735E7"/>
    <w:rsid w:val="001738F0"/>
    <w:rsid w:val="00173F94"/>
    <w:rsid w:val="001749B5"/>
    <w:rsid w:val="0017664A"/>
    <w:rsid w:val="00176F19"/>
    <w:rsid w:val="00176F34"/>
    <w:rsid w:val="001770B0"/>
    <w:rsid w:val="001773F5"/>
    <w:rsid w:val="0018115F"/>
    <w:rsid w:val="001811CD"/>
    <w:rsid w:val="001821B5"/>
    <w:rsid w:val="00182510"/>
    <w:rsid w:val="00182543"/>
    <w:rsid w:val="0018275C"/>
    <w:rsid w:val="00183529"/>
    <w:rsid w:val="00183664"/>
    <w:rsid w:val="001839CF"/>
    <w:rsid w:val="00183A3A"/>
    <w:rsid w:val="00183E68"/>
    <w:rsid w:val="00185B8E"/>
    <w:rsid w:val="001860FC"/>
    <w:rsid w:val="001866AC"/>
    <w:rsid w:val="001869C8"/>
    <w:rsid w:val="00186D99"/>
    <w:rsid w:val="001870A7"/>
    <w:rsid w:val="001872F4"/>
    <w:rsid w:val="001878CC"/>
    <w:rsid w:val="00187950"/>
    <w:rsid w:val="001909F5"/>
    <w:rsid w:val="00190BF5"/>
    <w:rsid w:val="00191021"/>
    <w:rsid w:val="00191139"/>
    <w:rsid w:val="001916AC"/>
    <w:rsid w:val="00193B2B"/>
    <w:rsid w:val="0019476A"/>
    <w:rsid w:val="00194F40"/>
    <w:rsid w:val="00195254"/>
    <w:rsid w:val="0019652E"/>
    <w:rsid w:val="00196EC2"/>
    <w:rsid w:val="0019732A"/>
    <w:rsid w:val="00197642"/>
    <w:rsid w:val="0019784F"/>
    <w:rsid w:val="00197AA1"/>
    <w:rsid w:val="001A105E"/>
    <w:rsid w:val="001A1164"/>
    <w:rsid w:val="001A13D3"/>
    <w:rsid w:val="001A1EB5"/>
    <w:rsid w:val="001A21CB"/>
    <w:rsid w:val="001A24B8"/>
    <w:rsid w:val="001A2587"/>
    <w:rsid w:val="001A294B"/>
    <w:rsid w:val="001A38C3"/>
    <w:rsid w:val="001A45CA"/>
    <w:rsid w:val="001A527A"/>
    <w:rsid w:val="001A5938"/>
    <w:rsid w:val="001A5FDB"/>
    <w:rsid w:val="001A5FE3"/>
    <w:rsid w:val="001A6662"/>
    <w:rsid w:val="001A6CED"/>
    <w:rsid w:val="001A7E36"/>
    <w:rsid w:val="001B09A1"/>
    <w:rsid w:val="001B18B9"/>
    <w:rsid w:val="001B2598"/>
    <w:rsid w:val="001B25D3"/>
    <w:rsid w:val="001B29C6"/>
    <w:rsid w:val="001B2A46"/>
    <w:rsid w:val="001B42F2"/>
    <w:rsid w:val="001B43B7"/>
    <w:rsid w:val="001B4877"/>
    <w:rsid w:val="001B4D08"/>
    <w:rsid w:val="001B4F7A"/>
    <w:rsid w:val="001B537A"/>
    <w:rsid w:val="001B5F00"/>
    <w:rsid w:val="001B60C7"/>
    <w:rsid w:val="001B6CA6"/>
    <w:rsid w:val="001B7205"/>
    <w:rsid w:val="001B7C5E"/>
    <w:rsid w:val="001C2830"/>
    <w:rsid w:val="001C2FB2"/>
    <w:rsid w:val="001C4382"/>
    <w:rsid w:val="001C440C"/>
    <w:rsid w:val="001C45B5"/>
    <w:rsid w:val="001C4B5B"/>
    <w:rsid w:val="001C4D62"/>
    <w:rsid w:val="001C5ABD"/>
    <w:rsid w:val="001C5BFB"/>
    <w:rsid w:val="001C6993"/>
    <w:rsid w:val="001C6C80"/>
    <w:rsid w:val="001C7168"/>
    <w:rsid w:val="001C71EC"/>
    <w:rsid w:val="001C769D"/>
    <w:rsid w:val="001C7BED"/>
    <w:rsid w:val="001D0119"/>
    <w:rsid w:val="001D0541"/>
    <w:rsid w:val="001D08A7"/>
    <w:rsid w:val="001D13E0"/>
    <w:rsid w:val="001D15F8"/>
    <w:rsid w:val="001D18F8"/>
    <w:rsid w:val="001D20D8"/>
    <w:rsid w:val="001D2C1C"/>
    <w:rsid w:val="001D3376"/>
    <w:rsid w:val="001D3F7A"/>
    <w:rsid w:val="001D4F35"/>
    <w:rsid w:val="001D56CE"/>
    <w:rsid w:val="001D57B4"/>
    <w:rsid w:val="001D5ABF"/>
    <w:rsid w:val="001D6144"/>
    <w:rsid w:val="001D6302"/>
    <w:rsid w:val="001D6669"/>
    <w:rsid w:val="001D6C8B"/>
    <w:rsid w:val="001E010E"/>
    <w:rsid w:val="001E019E"/>
    <w:rsid w:val="001E01FD"/>
    <w:rsid w:val="001E0489"/>
    <w:rsid w:val="001E1C77"/>
    <w:rsid w:val="001E239C"/>
    <w:rsid w:val="001E26A0"/>
    <w:rsid w:val="001E307D"/>
    <w:rsid w:val="001E3394"/>
    <w:rsid w:val="001E493A"/>
    <w:rsid w:val="001E50FF"/>
    <w:rsid w:val="001E55FE"/>
    <w:rsid w:val="001E5684"/>
    <w:rsid w:val="001E597F"/>
    <w:rsid w:val="001E5B40"/>
    <w:rsid w:val="001E724B"/>
    <w:rsid w:val="001F1A40"/>
    <w:rsid w:val="001F2946"/>
    <w:rsid w:val="001F29F9"/>
    <w:rsid w:val="001F2A6C"/>
    <w:rsid w:val="001F2B2F"/>
    <w:rsid w:val="001F2E28"/>
    <w:rsid w:val="001F3DE0"/>
    <w:rsid w:val="001F3DF1"/>
    <w:rsid w:val="001F41EE"/>
    <w:rsid w:val="001F4BE8"/>
    <w:rsid w:val="001F5923"/>
    <w:rsid w:val="001F5F43"/>
    <w:rsid w:val="001F60D7"/>
    <w:rsid w:val="001F645C"/>
    <w:rsid w:val="001F6F44"/>
    <w:rsid w:val="001F7674"/>
    <w:rsid w:val="002005A4"/>
    <w:rsid w:val="00202899"/>
    <w:rsid w:val="0020358D"/>
    <w:rsid w:val="002040D9"/>
    <w:rsid w:val="00204588"/>
    <w:rsid w:val="0020460D"/>
    <w:rsid w:val="00204A54"/>
    <w:rsid w:val="00204EC8"/>
    <w:rsid w:val="00204F64"/>
    <w:rsid w:val="00205458"/>
    <w:rsid w:val="00207260"/>
    <w:rsid w:val="0020754A"/>
    <w:rsid w:val="002102E1"/>
    <w:rsid w:val="002104A3"/>
    <w:rsid w:val="0021051A"/>
    <w:rsid w:val="0021064B"/>
    <w:rsid w:val="00210B47"/>
    <w:rsid w:val="0021118F"/>
    <w:rsid w:val="00211657"/>
    <w:rsid w:val="002117D0"/>
    <w:rsid w:val="002127D7"/>
    <w:rsid w:val="002127F5"/>
    <w:rsid w:val="00212BA1"/>
    <w:rsid w:val="00213373"/>
    <w:rsid w:val="00213667"/>
    <w:rsid w:val="00213AD6"/>
    <w:rsid w:val="00213C8B"/>
    <w:rsid w:val="00214174"/>
    <w:rsid w:val="00214293"/>
    <w:rsid w:val="0021662A"/>
    <w:rsid w:val="0021689C"/>
    <w:rsid w:val="00217163"/>
    <w:rsid w:val="002176DC"/>
    <w:rsid w:val="00217A3C"/>
    <w:rsid w:val="002202EC"/>
    <w:rsid w:val="00221FD6"/>
    <w:rsid w:val="0022322B"/>
    <w:rsid w:val="002233D7"/>
    <w:rsid w:val="002237A3"/>
    <w:rsid w:val="0022392B"/>
    <w:rsid w:val="002259CC"/>
    <w:rsid w:val="0022623F"/>
    <w:rsid w:val="00226929"/>
    <w:rsid w:val="00226E07"/>
    <w:rsid w:val="00227403"/>
    <w:rsid w:val="002277CE"/>
    <w:rsid w:val="00230E8B"/>
    <w:rsid w:val="0023146A"/>
    <w:rsid w:val="00231478"/>
    <w:rsid w:val="00231A9D"/>
    <w:rsid w:val="002321C4"/>
    <w:rsid w:val="002341E7"/>
    <w:rsid w:val="0023460E"/>
    <w:rsid w:val="002348BE"/>
    <w:rsid w:val="00234904"/>
    <w:rsid w:val="00235160"/>
    <w:rsid w:val="00236396"/>
    <w:rsid w:val="002363FF"/>
    <w:rsid w:val="00236C06"/>
    <w:rsid w:val="00237499"/>
    <w:rsid w:val="00237B59"/>
    <w:rsid w:val="00237C75"/>
    <w:rsid w:val="00237FE0"/>
    <w:rsid w:val="00240C95"/>
    <w:rsid w:val="00241B60"/>
    <w:rsid w:val="0024237C"/>
    <w:rsid w:val="002433E6"/>
    <w:rsid w:val="0024354A"/>
    <w:rsid w:val="00243C0D"/>
    <w:rsid w:val="00246814"/>
    <w:rsid w:val="00246988"/>
    <w:rsid w:val="002472D9"/>
    <w:rsid w:val="00247314"/>
    <w:rsid w:val="00247430"/>
    <w:rsid w:val="00247467"/>
    <w:rsid w:val="002475B1"/>
    <w:rsid w:val="002479A8"/>
    <w:rsid w:val="00250259"/>
    <w:rsid w:val="0025191A"/>
    <w:rsid w:val="002519DF"/>
    <w:rsid w:val="00252048"/>
    <w:rsid w:val="0025251E"/>
    <w:rsid w:val="00252B13"/>
    <w:rsid w:val="00252ECB"/>
    <w:rsid w:val="00253DB1"/>
    <w:rsid w:val="0025412D"/>
    <w:rsid w:val="00254383"/>
    <w:rsid w:val="00254B2B"/>
    <w:rsid w:val="00254FFD"/>
    <w:rsid w:val="0025535D"/>
    <w:rsid w:val="0025550D"/>
    <w:rsid w:val="002559F4"/>
    <w:rsid w:val="00255A20"/>
    <w:rsid w:val="002560D0"/>
    <w:rsid w:val="002561C7"/>
    <w:rsid w:val="00256326"/>
    <w:rsid w:val="00256410"/>
    <w:rsid w:val="002565DE"/>
    <w:rsid w:val="00256CC6"/>
    <w:rsid w:val="002571C8"/>
    <w:rsid w:val="00257218"/>
    <w:rsid w:val="00257752"/>
    <w:rsid w:val="00257804"/>
    <w:rsid w:val="00257BB0"/>
    <w:rsid w:val="00261812"/>
    <w:rsid w:val="00261958"/>
    <w:rsid w:val="00263209"/>
    <w:rsid w:val="00263D3B"/>
    <w:rsid w:val="00263D3F"/>
    <w:rsid w:val="00264311"/>
    <w:rsid w:val="002644A0"/>
    <w:rsid w:val="00264DF5"/>
    <w:rsid w:val="002656C7"/>
    <w:rsid w:val="0026645E"/>
    <w:rsid w:val="00266FB2"/>
    <w:rsid w:val="00267403"/>
    <w:rsid w:val="00267EA0"/>
    <w:rsid w:val="0027002A"/>
    <w:rsid w:val="002704AC"/>
    <w:rsid w:val="00270834"/>
    <w:rsid w:val="00271028"/>
    <w:rsid w:val="002714C4"/>
    <w:rsid w:val="00271FB7"/>
    <w:rsid w:val="00272257"/>
    <w:rsid w:val="00272872"/>
    <w:rsid w:val="002728AE"/>
    <w:rsid w:val="002732E7"/>
    <w:rsid w:val="002733A4"/>
    <w:rsid w:val="002744C4"/>
    <w:rsid w:val="002744FD"/>
    <w:rsid w:val="00274FAF"/>
    <w:rsid w:val="0027537D"/>
    <w:rsid w:val="00275AEB"/>
    <w:rsid w:val="0027625F"/>
    <w:rsid w:val="00276D76"/>
    <w:rsid w:val="00277FDC"/>
    <w:rsid w:val="0028032B"/>
    <w:rsid w:val="00280BBB"/>
    <w:rsid w:val="00280C81"/>
    <w:rsid w:val="002817DE"/>
    <w:rsid w:val="002817F7"/>
    <w:rsid w:val="00283999"/>
    <w:rsid w:val="00284479"/>
    <w:rsid w:val="002846C7"/>
    <w:rsid w:val="0028484A"/>
    <w:rsid w:val="0028496C"/>
    <w:rsid w:val="00284DE9"/>
    <w:rsid w:val="00284FFD"/>
    <w:rsid w:val="0028668B"/>
    <w:rsid w:val="00286E38"/>
    <w:rsid w:val="00290554"/>
    <w:rsid w:val="00290C14"/>
    <w:rsid w:val="002922CC"/>
    <w:rsid w:val="002923A7"/>
    <w:rsid w:val="00292A68"/>
    <w:rsid w:val="002940E9"/>
    <w:rsid w:val="002942CE"/>
    <w:rsid w:val="00294E48"/>
    <w:rsid w:val="00295736"/>
    <w:rsid w:val="002958F3"/>
    <w:rsid w:val="00295D30"/>
    <w:rsid w:val="00296327"/>
    <w:rsid w:val="00296F35"/>
    <w:rsid w:val="00297240"/>
    <w:rsid w:val="002A03E6"/>
    <w:rsid w:val="002A17DE"/>
    <w:rsid w:val="002A1843"/>
    <w:rsid w:val="002A1919"/>
    <w:rsid w:val="002A1DAA"/>
    <w:rsid w:val="002A1F79"/>
    <w:rsid w:val="002A2FFC"/>
    <w:rsid w:val="002A3042"/>
    <w:rsid w:val="002A37DD"/>
    <w:rsid w:val="002A389E"/>
    <w:rsid w:val="002A3A65"/>
    <w:rsid w:val="002A3B3C"/>
    <w:rsid w:val="002A3D92"/>
    <w:rsid w:val="002A3E13"/>
    <w:rsid w:val="002A4021"/>
    <w:rsid w:val="002A4BC7"/>
    <w:rsid w:val="002A5349"/>
    <w:rsid w:val="002A642A"/>
    <w:rsid w:val="002A6AEB"/>
    <w:rsid w:val="002A73EF"/>
    <w:rsid w:val="002A761F"/>
    <w:rsid w:val="002A7803"/>
    <w:rsid w:val="002A7E20"/>
    <w:rsid w:val="002B0025"/>
    <w:rsid w:val="002B0163"/>
    <w:rsid w:val="002B024C"/>
    <w:rsid w:val="002B0CC2"/>
    <w:rsid w:val="002B0F02"/>
    <w:rsid w:val="002B1114"/>
    <w:rsid w:val="002B172F"/>
    <w:rsid w:val="002B1B1A"/>
    <w:rsid w:val="002B274F"/>
    <w:rsid w:val="002B27D9"/>
    <w:rsid w:val="002B28A6"/>
    <w:rsid w:val="002B3740"/>
    <w:rsid w:val="002B3B18"/>
    <w:rsid w:val="002B45FD"/>
    <w:rsid w:val="002B49D1"/>
    <w:rsid w:val="002B4AD4"/>
    <w:rsid w:val="002B4BAA"/>
    <w:rsid w:val="002B54E6"/>
    <w:rsid w:val="002B6691"/>
    <w:rsid w:val="002B69FB"/>
    <w:rsid w:val="002B74D1"/>
    <w:rsid w:val="002B772A"/>
    <w:rsid w:val="002B7E57"/>
    <w:rsid w:val="002B7F10"/>
    <w:rsid w:val="002C07FA"/>
    <w:rsid w:val="002C1E29"/>
    <w:rsid w:val="002C2045"/>
    <w:rsid w:val="002C2216"/>
    <w:rsid w:val="002C2373"/>
    <w:rsid w:val="002C2D17"/>
    <w:rsid w:val="002C2E15"/>
    <w:rsid w:val="002C389E"/>
    <w:rsid w:val="002C481C"/>
    <w:rsid w:val="002C4938"/>
    <w:rsid w:val="002C4B1E"/>
    <w:rsid w:val="002C4D4D"/>
    <w:rsid w:val="002C5490"/>
    <w:rsid w:val="002C581E"/>
    <w:rsid w:val="002C6A08"/>
    <w:rsid w:val="002C7208"/>
    <w:rsid w:val="002C74C6"/>
    <w:rsid w:val="002D0856"/>
    <w:rsid w:val="002D100D"/>
    <w:rsid w:val="002D118D"/>
    <w:rsid w:val="002D156C"/>
    <w:rsid w:val="002D16E0"/>
    <w:rsid w:val="002D195C"/>
    <w:rsid w:val="002D23C8"/>
    <w:rsid w:val="002D2BAA"/>
    <w:rsid w:val="002D2DF0"/>
    <w:rsid w:val="002D3BF0"/>
    <w:rsid w:val="002D48C0"/>
    <w:rsid w:val="002D50ED"/>
    <w:rsid w:val="002D6662"/>
    <w:rsid w:val="002D6BDF"/>
    <w:rsid w:val="002D7605"/>
    <w:rsid w:val="002E09C0"/>
    <w:rsid w:val="002E0A51"/>
    <w:rsid w:val="002E1F7C"/>
    <w:rsid w:val="002E20A3"/>
    <w:rsid w:val="002E2E3D"/>
    <w:rsid w:val="002E36F2"/>
    <w:rsid w:val="002E3BF7"/>
    <w:rsid w:val="002E52B9"/>
    <w:rsid w:val="002E622A"/>
    <w:rsid w:val="002E70B0"/>
    <w:rsid w:val="002E749F"/>
    <w:rsid w:val="002E7E00"/>
    <w:rsid w:val="002F04FF"/>
    <w:rsid w:val="002F0680"/>
    <w:rsid w:val="002F17ED"/>
    <w:rsid w:val="002F1BC0"/>
    <w:rsid w:val="002F232D"/>
    <w:rsid w:val="002F238E"/>
    <w:rsid w:val="002F28C6"/>
    <w:rsid w:val="002F2E53"/>
    <w:rsid w:val="002F3EEF"/>
    <w:rsid w:val="002F4B70"/>
    <w:rsid w:val="002F5E52"/>
    <w:rsid w:val="002F5ECF"/>
    <w:rsid w:val="003011C9"/>
    <w:rsid w:val="00301642"/>
    <w:rsid w:val="00301A28"/>
    <w:rsid w:val="00301A66"/>
    <w:rsid w:val="00301BB6"/>
    <w:rsid w:val="00301D13"/>
    <w:rsid w:val="003028C4"/>
    <w:rsid w:val="00302C4B"/>
    <w:rsid w:val="00302C7F"/>
    <w:rsid w:val="00302D91"/>
    <w:rsid w:val="00303B57"/>
    <w:rsid w:val="00305208"/>
    <w:rsid w:val="00305320"/>
    <w:rsid w:val="00305E17"/>
    <w:rsid w:val="00306C3F"/>
    <w:rsid w:val="003070F5"/>
    <w:rsid w:val="00310473"/>
    <w:rsid w:val="003104C2"/>
    <w:rsid w:val="00310693"/>
    <w:rsid w:val="00310ECC"/>
    <w:rsid w:val="00310FA9"/>
    <w:rsid w:val="00311D2E"/>
    <w:rsid w:val="003124F9"/>
    <w:rsid w:val="00312540"/>
    <w:rsid w:val="0031368D"/>
    <w:rsid w:val="00313B6E"/>
    <w:rsid w:val="003144CE"/>
    <w:rsid w:val="003144F8"/>
    <w:rsid w:val="00314BAC"/>
    <w:rsid w:val="00315376"/>
    <w:rsid w:val="0031606C"/>
    <w:rsid w:val="00316A97"/>
    <w:rsid w:val="00316C56"/>
    <w:rsid w:val="00317711"/>
    <w:rsid w:val="003200F3"/>
    <w:rsid w:val="00320168"/>
    <w:rsid w:val="00320C31"/>
    <w:rsid w:val="00320E09"/>
    <w:rsid w:val="00321715"/>
    <w:rsid w:val="00321EEF"/>
    <w:rsid w:val="00322ABC"/>
    <w:rsid w:val="00323B00"/>
    <w:rsid w:val="00323DC5"/>
    <w:rsid w:val="003240E2"/>
    <w:rsid w:val="00324A98"/>
    <w:rsid w:val="00325283"/>
    <w:rsid w:val="00325510"/>
    <w:rsid w:val="0032581B"/>
    <w:rsid w:val="00325B21"/>
    <w:rsid w:val="00326B71"/>
    <w:rsid w:val="00327C5D"/>
    <w:rsid w:val="003305CF"/>
    <w:rsid w:val="0033147B"/>
    <w:rsid w:val="00332E65"/>
    <w:rsid w:val="003334CC"/>
    <w:rsid w:val="003341A9"/>
    <w:rsid w:val="00334890"/>
    <w:rsid w:val="00334A49"/>
    <w:rsid w:val="00334DC9"/>
    <w:rsid w:val="00334ED3"/>
    <w:rsid w:val="00335229"/>
    <w:rsid w:val="0033534A"/>
    <w:rsid w:val="003360C4"/>
    <w:rsid w:val="003360D5"/>
    <w:rsid w:val="00336682"/>
    <w:rsid w:val="003369FD"/>
    <w:rsid w:val="003374EA"/>
    <w:rsid w:val="003378EB"/>
    <w:rsid w:val="00337A6F"/>
    <w:rsid w:val="00337DF2"/>
    <w:rsid w:val="00337EFA"/>
    <w:rsid w:val="003404B4"/>
    <w:rsid w:val="00341AAD"/>
    <w:rsid w:val="00341AF1"/>
    <w:rsid w:val="00341F72"/>
    <w:rsid w:val="00342E85"/>
    <w:rsid w:val="00342E8E"/>
    <w:rsid w:val="00343187"/>
    <w:rsid w:val="003432FD"/>
    <w:rsid w:val="00343B95"/>
    <w:rsid w:val="003446F4"/>
    <w:rsid w:val="003447E2"/>
    <w:rsid w:val="00344842"/>
    <w:rsid w:val="00344887"/>
    <w:rsid w:val="0034527A"/>
    <w:rsid w:val="00345CC0"/>
    <w:rsid w:val="0034607D"/>
    <w:rsid w:val="003460DA"/>
    <w:rsid w:val="003462A5"/>
    <w:rsid w:val="003463C2"/>
    <w:rsid w:val="00347068"/>
    <w:rsid w:val="003478AB"/>
    <w:rsid w:val="00347A30"/>
    <w:rsid w:val="00347D22"/>
    <w:rsid w:val="003500B0"/>
    <w:rsid w:val="00350B78"/>
    <w:rsid w:val="00350C8B"/>
    <w:rsid w:val="0035107A"/>
    <w:rsid w:val="00351B46"/>
    <w:rsid w:val="00352766"/>
    <w:rsid w:val="00352D03"/>
    <w:rsid w:val="00352EC7"/>
    <w:rsid w:val="003532A3"/>
    <w:rsid w:val="003533F3"/>
    <w:rsid w:val="00353E29"/>
    <w:rsid w:val="00353FD1"/>
    <w:rsid w:val="00354213"/>
    <w:rsid w:val="0035454E"/>
    <w:rsid w:val="00354805"/>
    <w:rsid w:val="0035556C"/>
    <w:rsid w:val="0035598D"/>
    <w:rsid w:val="00355EC2"/>
    <w:rsid w:val="003562CE"/>
    <w:rsid w:val="003603C4"/>
    <w:rsid w:val="0036058A"/>
    <w:rsid w:val="00361217"/>
    <w:rsid w:val="0036247B"/>
    <w:rsid w:val="003632FB"/>
    <w:rsid w:val="00363B9D"/>
    <w:rsid w:val="0036432A"/>
    <w:rsid w:val="00365C33"/>
    <w:rsid w:val="00365DE4"/>
    <w:rsid w:val="00366610"/>
    <w:rsid w:val="003671F2"/>
    <w:rsid w:val="00367306"/>
    <w:rsid w:val="003675EB"/>
    <w:rsid w:val="00370104"/>
    <w:rsid w:val="003704AE"/>
    <w:rsid w:val="003709B0"/>
    <w:rsid w:val="00370C19"/>
    <w:rsid w:val="00370CAC"/>
    <w:rsid w:val="00371364"/>
    <w:rsid w:val="003713F1"/>
    <w:rsid w:val="003715EB"/>
    <w:rsid w:val="00371706"/>
    <w:rsid w:val="00372C2C"/>
    <w:rsid w:val="00374910"/>
    <w:rsid w:val="00374B4E"/>
    <w:rsid w:val="00375926"/>
    <w:rsid w:val="00377202"/>
    <w:rsid w:val="00377A60"/>
    <w:rsid w:val="00377C7F"/>
    <w:rsid w:val="00381853"/>
    <w:rsid w:val="00381A1D"/>
    <w:rsid w:val="00382397"/>
    <w:rsid w:val="0038270B"/>
    <w:rsid w:val="00382DA5"/>
    <w:rsid w:val="00383C25"/>
    <w:rsid w:val="00384611"/>
    <w:rsid w:val="00384A19"/>
    <w:rsid w:val="0038623A"/>
    <w:rsid w:val="00386D64"/>
    <w:rsid w:val="00386F6C"/>
    <w:rsid w:val="00391184"/>
    <w:rsid w:val="0039147C"/>
    <w:rsid w:val="0039149D"/>
    <w:rsid w:val="00391B7D"/>
    <w:rsid w:val="00392612"/>
    <w:rsid w:val="0039268D"/>
    <w:rsid w:val="00392769"/>
    <w:rsid w:val="00392AE8"/>
    <w:rsid w:val="00392F11"/>
    <w:rsid w:val="00394038"/>
    <w:rsid w:val="00395ADD"/>
    <w:rsid w:val="003961A1"/>
    <w:rsid w:val="00396B3F"/>
    <w:rsid w:val="00396BFD"/>
    <w:rsid w:val="003978C1"/>
    <w:rsid w:val="003A19FF"/>
    <w:rsid w:val="003A1EAA"/>
    <w:rsid w:val="003A1F24"/>
    <w:rsid w:val="003A2266"/>
    <w:rsid w:val="003A2378"/>
    <w:rsid w:val="003A2BD9"/>
    <w:rsid w:val="003A3051"/>
    <w:rsid w:val="003A36D7"/>
    <w:rsid w:val="003A5579"/>
    <w:rsid w:val="003A5FA2"/>
    <w:rsid w:val="003A6580"/>
    <w:rsid w:val="003A68F6"/>
    <w:rsid w:val="003A6FCC"/>
    <w:rsid w:val="003A784D"/>
    <w:rsid w:val="003B1095"/>
    <w:rsid w:val="003B22B1"/>
    <w:rsid w:val="003B2ECA"/>
    <w:rsid w:val="003B30C1"/>
    <w:rsid w:val="003B399D"/>
    <w:rsid w:val="003B3AB2"/>
    <w:rsid w:val="003B3B1B"/>
    <w:rsid w:val="003B3B6E"/>
    <w:rsid w:val="003B4907"/>
    <w:rsid w:val="003B58F4"/>
    <w:rsid w:val="003B59FC"/>
    <w:rsid w:val="003B61CB"/>
    <w:rsid w:val="003B71A3"/>
    <w:rsid w:val="003B75D8"/>
    <w:rsid w:val="003C0212"/>
    <w:rsid w:val="003C0506"/>
    <w:rsid w:val="003C07BF"/>
    <w:rsid w:val="003C1D6E"/>
    <w:rsid w:val="003C29BB"/>
    <w:rsid w:val="003C2EFB"/>
    <w:rsid w:val="003C349E"/>
    <w:rsid w:val="003C369F"/>
    <w:rsid w:val="003C3799"/>
    <w:rsid w:val="003C3A31"/>
    <w:rsid w:val="003C4010"/>
    <w:rsid w:val="003C4245"/>
    <w:rsid w:val="003C4FAE"/>
    <w:rsid w:val="003C5315"/>
    <w:rsid w:val="003C5355"/>
    <w:rsid w:val="003C53DF"/>
    <w:rsid w:val="003C5554"/>
    <w:rsid w:val="003C565B"/>
    <w:rsid w:val="003C6C62"/>
    <w:rsid w:val="003C70CB"/>
    <w:rsid w:val="003D00D9"/>
    <w:rsid w:val="003D1342"/>
    <w:rsid w:val="003D175F"/>
    <w:rsid w:val="003D52B0"/>
    <w:rsid w:val="003D55C0"/>
    <w:rsid w:val="003D5DD3"/>
    <w:rsid w:val="003D643A"/>
    <w:rsid w:val="003D6B87"/>
    <w:rsid w:val="003D7479"/>
    <w:rsid w:val="003D7FA0"/>
    <w:rsid w:val="003E0065"/>
    <w:rsid w:val="003E0083"/>
    <w:rsid w:val="003E01AA"/>
    <w:rsid w:val="003E036C"/>
    <w:rsid w:val="003E0503"/>
    <w:rsid w:val="003E173B"/>
    <w:rsid w:val="003E176B"/>
    <w:rsid w:val="003E206B"/>
    <w:rsid w:val="003E2173"/>
    <w:rsid w:val="003E2356"/>
    <w:rsid w:val="003E23C1"/>
    <w:rsid w:val="003E2A3B"/>
    <w:rsid w:val="003E33D1"/>
    <w:rsid w:val="003E33DE"/>
    <w:rsid w:val="003E35A0"/>
    <w:rsid w:val="003E3819"/>
    <w:rsid w:val="003E53E9"/>
    <w:rsid w:val="003E5D05"/>
    <w:rsid w:val="003E60D0"/>
    <w:rsid w:val="003E7501"/>
    <w:rsid w:val="003E7B43"/>
    <w:rsid w:val="003E7B9F"/>
    <w:rsid w:val="003F0155"/>
    <w:rsid w:val="003F0772"/>
    <w:rsid w:val="003F13F2"/>
    <w:rsid w:val="003F15FB"/>
    <w:rsid w:val="003F1744"/>
    <w:rsid w:val="003F1F86"/>
    <w:rsid w:val="003F2418"/>
    <w:rsid w:val="003F2774"/>
    <w:rsid w:val="003F2890"/>
    <w:rsid w:val="003F2B3D"/>
    <w:rsid w:val="003F444D"/>
    <w:rsid w:val="003F44CC"/>
    <w:rsid w:val="003F48AE"/>
    <w:rsid w:val="003F6431"/>
    <w:rsid w:val="003F6B54"/>
    <w:rsid w:val="003F7066"/>
    <w:rsid w:val="003F7382"/>
    <w:rsid w:val="003F7862"/>
    <w:rsid w:val="004002F3"/>
    <w:rsid w:val="004010FE"/>
    <w:rsid w:val="00401857"/>
    <w:rsid w:val="00401E85"/>
    <w:rsid w:val="00402486"/>
    <w:rsid w:val="00402972"/>
    <w:rsid w:val="00403195"/>
    <w:rsid w:val="00403620"/>
    <w:rsid w:val="00403C60"/>
    <w:rsid w:val="00403D3B"/>
    <w:rsid w:val="00403DE7"/>
    <w:rsid w:val="00404067"/>
    <w:rsid w:val="00404BF3"/>
    <w:rsid w:val="004051C8"/>
    <w:rsid w:val="004053A2"/>
    <w:rsid w:val="004056DE"/>
    <w:rsid w:val="00405731"/>
    <w:rsid w:val="00406416"/>
    <w:rsid w:val="00406866"/>
    <w:rsid w:val="004078CC"/>
    <w:rsid w:val="0041002E"/>
    <w:rsid w:val="0041003B"/>
    <w:rsid w:val="004101B2"/>
    <w:rsid w:val="004101B6"/>
    <w:rsid w:val="00411783"/>
    <w:rsid w:val="00412797"/>
    <w:rsid w:val="0041375A"/>
    <w:rsid w:val="00413BFB"/>
    <w:rsid w:val="00414338"/>
    <w:rsid w:val="00415B95"/>
    <w:rsid w:val="00415C7D"/>
    <w:rsid w:val="004161EC"/>
    <w:rsid w:val="00416481"/>
    <w:rsid w:val="004169EF"/>
    <w:rsid w:val="00417B82"/>
    <w:rsid w:val="00417EDD"/>
    <w:rsid w:val="00420161"/>
    <w:rsid w:val="00420222"/>
    <w:rsid w:val="0042161A"/>
    <w:rsid w:val="00421656"/>
    <w:rsid w:val="0042327C"/>
    <w:rsid w:val="00423AD0"/>
    <w:rsid w:val="00424283"/>
    <w:rsid w:val="004244A4"/>
    <w:rsid w:val="0042548C"/>
    <w:rsid w:val="0042556D"/>
    <w:rsid w:val="00425856"/>
    <w:rsid w:val="00426183"/>
    <w:rsid w:val="004263D6"/>
    <w:rsid w:val="00427080"/>
    <w:rsid w:val="004276FE"/>
    <w:rsid w:val="004301FB"/>
    <w:rsid w:val="00430FE6"/>
    <w:rsid w:val="0043206D"/>
    <w:rsid w:val="00432D19"/>
    <w:rsid w:val="00433690"/>
    <w:rsid w:val="00433E7B"/>
    <w:rsid w:val="004340A1"/>
    <w:rsid w:val="00434DDA"/>
    <w:rsid w:val="0043511B"/>
    <w:rsid w:val="004351FC"/>
    <w:rsid w:val="0043529F"/>
    <w:rsid w:val="00436460"/>
    <w:rsid w:val="004377D0"/>
    <w:rsid w:val="0043796A"/>
    <w:rsid w:val="00437AB0"/>
    <w:rsid w:val="00441B7E"/>
    <w:rsid w:val="004422C3"/>
    <w:rsid w:val="004422D7"/>
    <w:rsid w:val="004424FD"/>
    <w:rsid w:val="004444FA"/>
    <w:rsid w:val="00444AA7"/>
    <w:rsid w:val="00444B11"/>
    <w:rsid w:val="00444F0C"/>
    <w:rsid w:val="0044627A"/>
    <w:rsid w:val="0044667C"/>
    <w:rsid w:val="0044668F"/>
    <w:rsid w:val="00446AE6"/>
    <w:rsid w:val="00446C6D"/>
    <w:rsid w:val="00447BE0"/>
    <w:rsid w:val="00447D82"/>
    <w:rsid w:val="00450D42"/>
    <w:rsid w:val="004510F5"/>
    <w:rsid w:val="00451672"/>
    <w:rsid w:val="00452A47"/>
    <w:rsid w:val="00453AA0"/>
    <w:rsid w:val="00453E23"/>
    <w:rsid w:val="004542F2"/>
    <w:rsid w:val="004547AC"/>
    <w:rsid w:val="004550AE"/>
    <w:rsid w:val="004556DF"/>
    <w:rsid w:val="00455B50"/>
    <w:rsid w:val="00456C20"/>
    <w:rsid w:val="0045709B"/>
    <w:rsid w:val="0045783E"/>
    <w:rsid w:val="004578E6"/>
    <w:rsid w:val="0046046E"/>
    <w:rsid w:val="004614E3"/>
    <w:rsid w:val="00461587"/>
    <w:rsid w:val="0046199C"/>
    <w:rsid w:val="0046277A"/>
    <w:rsid w:val="00462BA6"/>
    <w:rsid w:val="00462CE0"/>
    <w:rsid w:val="00464573"/>
    <w:rsid w:val="0046485A"/>
    <w:rsid w:val="00465481"/>
    <w:rsid w:val="00465C65"/>
    <w:rsid w:val="00466349"/>
    <w:rsid w:val="004666A0"/>
    <w:rsid w:val="00466751"/>
    <w:rsid w:val="0046688C"/>
    <w:rsid w:val="00467C47"/>
    <w:rsid w:val="00467EBB"/>
    <w:rsid w:val="00470A52"/>
    <w:rsid w:val="00471682"/>
    <w:rsid w:val="00471AF2"/>
    <w:rsid w:val="004722D0"/>
    <w:rsid w:val="004738EF"/>
    <w:rsid w:val="00473EAA"/>
    <w:rsid w:val="0047420C"/>
    <w:rsid w:val="00474926"/>
    <w:rsid w:val="00474E9C"/>
    <w:rsid w:val="004750F4"/>
    <w:rsid w:val="00475186"/>
    <w:rsid w:val="00475673"/>
    <w:rsid w:val="004756A9"/>
    <w:rsid w:val="00475C80"/>
    <w:rsid w:val="00475FB0"/>
    <w:rsid w:val="004764CA"/>
    <w:rsid w:val="0047786F"/>
    <w:rsid w:val="00477BF0"/>
    <w:rsid w:val="00480CC9"/>
    <w:rsid w:val="00481081"/>
    <w:rsid w:val="00481285"/>
    <w:rsid w:val="00482E41"/>
    <w:rsid w:val="00482E57"/>
    <w:rsid w:val="00483492"/>
    <w:rsid w:val="00483536"/>
    <w:rsid w:val="00483580"/>
    <w:rsid w:val="004837C6"/>
    <w:rsid w:val="00483CA9"/>
    <w:rsid w:val="00483E77"/>
    <w:rsid w:val="00483F77"/>
    <w:rsid w:val="00484866"/>
    <w:rsid w:val="004849AD"/>
    <w:rsid w:val="00485011"/>
    <w:rsid w:val="00485529"/>
    <w:rsid w:val="004869D7"/>
    <w:rsid w:val="00490268"/>
    <w:rsid w:val="00490C49"/>
    <w:rsid w:val="00491F03"/>
    <w:rsid w:val="00492516"/>
    <w:rsid w:val="00492B77"/>
    <w:rsid w:val="0049311C"/>
    <w:rsid w:val="00493556"/>
    <w:rsid w:val="00494192"/>
    <w:rsid w:val="004945A6"/>
    <w:rsid w:val="0049476E"/>
    <w:rsid w:val="0049496F"/>
    <w:rsid w:val="00494DBB"/>
    <w:rsid w:val="00494F11"/>
    <w:rsid w:val="00495132"/>
    <w:rsid w:val="0049539B"/>
    <w:rsid w:val="00495AD0"/>
    <w:rsid w:val="004963BF"/>
    <w:rsid w:val="00496CBE"/>
    <w:rsid w:val="0049778E"/>
    <w:rsid w:val="004A0A5D"/>
    <w:rsid w:val="004A1C18"/>
    <w:rsid w:val="004A1CD6"/>
    <w:rsid w:val="004A3AE0"/>
    <w:rsid w:val="004A5050"/>
    <w:rsid w:val="004A5063"/>
    <w:rsid w:val="004A586E"/>
    <w:rsid w:val="004A5D6E"/>
    <w:rsid w:val="004A6225"/>
    <w:rsid w:val="004A6594"/>
    <w:rsid w:val="004A6A8C"/>
    <w:rsid w:val="004A7175"/>
    <w:rsid w:val="004A7BFE"/>
    <w:rsid w:val="004A7DE3"/>
    <w:rsid w:val="004B057B"/>
    <w:rsid w:val="004B058C"/>
    <w:rsid w:val="004B0D43"/>
    <w:rsid w:val="004B13F6"/>
    <w:rsid w:val="004B1ED7"/>
    <w:rsid w:val="004B1FF4"/>
    <w:rsid w:val="004B2001"/>
    <w:rsid w:val="004B2963"/>
    <w:rsid w:val="004B34B0"/>
    <w:rsid w:val="004B36B2"/>
    <w:rsid w:val="004B4063"/>
    <w:rsid w:val="004B4BEF"/>
    <w:rsid w:val="004B5C4D"/>
    <w:rsid w:val="004B5C9E"/>
    <w:rsid w:val="004B5E0A"/>
    <w:rsid w:val="004B647E"/>
    <w:rsid w:val="004B6F87"/>
    <w:rsid w:val="004B7BD7"/>
    <w:rsid w:val="004C02DA"/>
    <w:rsid w:val="004C0FC8"/>
    <w:rsid w:val="004C10C5"/>
    <w:rsid w:val="004C2848"/>
    <w:rsid w:val="004C2B9B"/>
    <w:rsid w:val="004C31B2"/>
    <w:rsid w:val="004C3845"/>
    <w:rsid w:val="004C3984"/>
    <w:rsid w:val="004C3AFF"/>
    <w:rsid w:val="004C4093"/>
    <w:rsid w:val="004C420C"/>
    <w:rsid w:val="004C475D"/>
    <w:rsid w:val="004C4FE5"/>
    <w:rsid w:val="004C536E"/>
    <w:rsid w:val="004C5E2C"/>
    <w:rsid w:val="004C5E40"/>
    <w:rsid w:val="004C7646"/>
    <w:rsid w:val="004D082C"/>
    <w:rsid w:val="004D0B84"/>
    <w:rsid w:val="004D0DC1"/>
    <w:rsid w:val="004D0F00"/>
    <w:rsid w:val="004D2708"/>
    <w:rsid w:val="004D36A1"/>
    <w:rsid w:val="004D4655"/>
    <w:rsid w:val="004D5BFB"/>
    <w:rsid w:val="004D5CBA"/>
    <w:rsid w:val="004D61B4"/>
    <w:rsid w:val="004D61F6"/>
    <w:rsid w:val="004E013C"/>
    <w:rsid w:val="004E135E"/>
    <w:rsid w:val="004E162E"/>
    <w:rsid w:val="004E18AC"/>
    <w:rsid w:val="004E20A6"/>
    <w:rsid w:val="004E254F"/>
    <w:rsid w:val="004E266F"/>
    <w:rsid w:val="004E28B7"/>
    <w:rsid w:val="004E2A78"/>
    <w:rsid w:val="004E2E10"/>
    <w:rsid w:val="004E2EBC"/>
    <w:rsid w:val="004E33EF"/>
    <w:rsid w:val="004E3959"/>
    <w:rsid w:val="004E4C1E"/>
    <w:rsid w:val="004E4C23"/>
    <w:rsid w:val="004E59E0"/>
    <w:rsid w:val="004E6316"/>
    <w:rsid w:val="004E7396"/>
    <w:rsid w:val="004E7D01"/>
    <w:rsid w:val="004E7F06"/>
    <w:rsid w:val="004F0248"/>
    <w:rsid w:val="004F08F1"/>
    <w:rsid w:val="004F10E7"/>
    <w:rsid w:val="004F146D"/>
    <w:rsid w:val="004F17ED"/>
    <w:rsid w:val="004F2124"/>
    <w:rsid w:val="004F2669"/>
    <w:rsid w:val="004F2B44"/>
    <w:rsid w:val="004F2C1C"/>
    <w:rsid w:val="004F3B72"/>
    <w:rsid w:val="004F47AD"/>
    <w:rsid w:val="004F4E8F"/>
    <w:rsid w:val="004F5536"/>
    <w:rsid w:val="004F59F6"/>
    <w:rsid w:val="004F62AE"/>
    <w:rsid w:val="004F664A"/>
    <w:rsid w:val="004F6AD0"/>
    <w:rsid w:val="004F6B40"/>
    <w:rsid w:val="004F794D"/>
    <w:rsid w:val="0050039D"/>
    <w:rsid w:val="00500B9C"/>
    <w:rsid w:val="00500F10"/>
    <w:rsid w:val="00502189"/>
    <w:rsid w:val="0050258B"/>
    <w:rsid w:val="00502A5F"/>
    <w:rsid w:val="0050334B"/>
    <w:rsid w:val="00503AC6"/>
    <w:rsid w:val="00504373"/>
    <w:rsid w:val="00504F1B"/>
    <w:rsid w:val="00505D5D"/>
    <w:rsid w:val="00506475"/>
    <w:rsid w:val="0050669A"/>
    <w:rsid w:val="005069B9"/>
    <w:rsid w:val="00507206"/>
    <w:rsid w:val="0050730A"/>
    <w:rsid w:val="0050747A"/>
    <w:rsid w:val="00507A93"/>
    <w:rsid w:val="0051011E"/>
    <w:rsid w:val="0051044C"/>
    <w:rsid w:val="00510472"/>
    <w:rsid w:val="00510EC0"/>
    <w:rsid w:val="005110E7"/>
    <w:rsid w:val="005113DF"/>
    <w:rsid w:val="00511933"/>
    <w:rsid w:val="00511E9E"/>
    <w:rsid w:val="005121B0"/>
    <w:rsid w:val="005121CC"/>
    <w:rsid w:val="00512429"/>
    <w:rsid w:val="0051315A"/>
    <w:rsid w:val="00514A9B"/>
    <w:rsid w:val="00514FA2"/>
    <w:rsid w:val="00515042"/>
    <w:rsid w:val="00515989"/>
    <w:rsid w:val="005159AA"/>
    <w:rsid w:val="00515A80"/>
    <w:rsid w:val="00515B86"/>
    <w:rsid w:val="00515C97"/>
    <w:rsid w:val="00516DB4"/>
    <w:rsid w:val="005171E9"/>
    <w:rsid w:val="0051728C"/>
    <w:rsid w:val="00517569"/>
    <w:rsid w:val="0051792C"/>
    <w:rsid w:val="00517DC7"/>
    <w:rsid w:val="005204A1"/>
    <w:rsid w:val="00520942"/>
    <w:rsid w:val="00521530"/>
    <w:rsid w:val="00521775"/>
    <w:rsid w:val="00523486"/>
    <w:rsid w:val="00523D06"/>
    <w:rsid w:val="005246A4"/>
    <w:rsid w:val="0052495D"/>
    <w:rsid w:val="00524FAA"/>
    <w:rsid w:val="00525278"/>
    <w:rsid w:val="00525F50"/>
    <w:rsid w:val="0052604E"/>
    <w:rsid w:val="00526243"/>
    <w:rsid w:val="005262FE"/>
    <w:rsid w:val="00526DCB"/>
    <w:rsid w:val="00526F29"/>
    <w:rsid w:val="00530245"/>
    <w:rsid w:val="00530BB9"/>
    <w:rsid w:val="005312F4"/>
    <w:rsid w:val="005313B2"/>
    <w:rsid w:val="00531E94"/>
    <w:rsid w:val="005320B0"/>
    <w:rsid w:val="005321BB"/>
    <w:rsid w:val="0053246D"/>
    <w:rsid w:val="005328E8"/>
    <w:rsid w:val="00532AC9"/>
    <w:rsid w:val="00532DB3"/>
    <w:rsid w:val="00533659"/>
    <w:rsid w:val="00534815"/>
    <w:rsid w:val="00534E1C"/>
    <w:rsid w:val="00535573"/>
    <w:rsid w:val="00535610"/>
    <w:rsid w:val="00535FB6"/>
    <w:rsid w:val="005368E3"/>
    <w:rsid w:val="0053783C"/>
    <w:rsid w:val="005406A3"/>
    <w:rsid w:val="005410CB"/>
    <w:rsid w:val="00541262"/>
    <w:rsid w:val="005413E2"/>
    <w:rsid w:val="00541A8C"/>
    <w:rsid w:val="005429C9"/>
    <w:rsid w:val="005431FB"/>
    <w:rsid w:val="00543862"/>
    <w:rsid w:val="00543CFB"/>
    <w:rsid w:val="00543FD2"/>
    <w:rsid w:val="005443D7"/>
    <w:rsid w:val="00544C1C"/>
    <w:rsid w:val="005463E5"/>
    <w:rsid w:val="0054684C"/>
    <w:rsid w:val="00547E3A"/>
    <w:rsid w:val="0055054E"/>
    <w:rsid w:val="00551746"/>
    <w:rsid w:val="0055183D"/>
    <w:rsid w:val="0055223D"/>
    <w:rsid w:val="0055231A"/>
    <w:rsid w:val="005528BF"/>
    <w:rsid w:val="00552977"/>
    <w:rsid w:val="00553513"/>
    <w:rsid w:val="005545D1"/>
    <w:rsid w:val="00554A05"/>
    <w:rsid w:val="00554D69"/>
    <w:rsid w:val="0055579B"/>
    <w:rsid w:val="00555D45"/>
    <w:rsid w:val="00555E3B"/>
    <w:rsid w:val="005561E9"/>
    <w:rsid w:val="00556C34"/>
    <w:rsid w:val="0055771E"/>
    <w:rsid w:val="005607DF"/>
    <w:rsid w:val="00560AB0"/>
    <w:rsid w:val="005611A6"/>
    <w:rsid w:val="00561948"/>
    <w:rsid w:val="00561AE1"/>
    <w:rsid w:val="00561B23"/>
    <w:rsid w:val="005622A4"/>
    <w:rsid w:val="005623AC"/>
    <w:rsid w:val="0056346C"/>
    <w:rsid w:val="00565273"/>
    <w:rsid w:val="00565A4A"/>
    <w:rsid w:val="00565E7E"/>
    <w:rsid w:val="0056652F"/>
    <w:rsid w:val="0056657E"/>
    <w:rsid w:val="0056667B"/>
    <w:rsid w:val="005668FA"/>
    <w:rsid w:val="00567221"/>
    <w:rsid w:val="00567482"/>
    <w:rsid w:val="00567C9B"/>
    <w:rsid w:val="00570E94"/>
    <w:rsid w:val="00571307"/>
    <w:rsid w:val="00571DA0"/>
    <w:rsid w:val="005720B5"/>
    <w:rsid w:val="00572558"/>
    <w:rsid w:val="0057315E"/>
    <w:rsid w:val="00573593"/>
    <w:rsid w:val="00573CBC"/>
    <w:rsid w:val="0057443A"/>
    <w:rsid w:val="00574D35"/>
    <w:rsid w:val="00574EB6"/>
    <w:rsid w:val="00575E43"/>
    <w:rsid w:val="0057616E"/>
    <w:rsid w:val="00576695"/>
    <w:rsid w:val="00576D9A"/>
    <w:rsid w:val="005772AC"/>
    <w:rsid w:val="005775B3"/>
    <w:rsid w:val="005776AE"/>
    <w:rsid w:val="005776D4"/>
    <w:rsid w:val="005802F5"/>
    <w:rsid w:val="00580339"/>
    <w:rsid w:val="00580997"/>
    <w:rsid w:val="005813C7"/>
    <w:rsid w:val="0058166A"/>
    <w:rsid w:val="00582389"/>
    <w:rsid w:val="00582AAD"/>
    <w:rsid w:val="005838DB"/>
    <w:rsid w:val="00583D11"/>
    <w:rsid w:val="00583F79"/>
    <w:rsid w:val="005858F7"/>
    <w:rsid w:val="00585B77"/>
    <w:rsid w:val="00585FFE"/>
    <w:rsid w:val="00586074"/>
    <w:rsid w:val="0058647B"/>
    <w:rsid w:val="0058661F"/>
    <w:rsid w:val="00586849"/>
    <w:rsid w:val="005869AA"/>
    <w:rsid w:val="00586F56"/>
    <w:rsid w:val="00587327"/>
    <w:rsid w:val="005878F5"/>
    <w:rsid w:val="0059003B"/>
    <w:rsid w:val="0059042F"/>
    <w:rsid w:val="005906D9"/>
    <w:rsid w:val="00590A0C"/>
    <w:rsid w:val="00590AA0"/>
    <w:rsid w:val="00591082"/>
    <w:rsid w:val="00591550"/>
    <w:rsid w:val="00591F5E"/>
    <w:rsid w:val="00591F89"/>
    <w:rsid w:val="00592A8C"/>
    <w:rsid w:val="00592BCB"/>
    <w:rsid w:val="00593BA1"/>
    <w:rsid w:val="00594600"/>
    <w:rsid w:val="00594AE5"/>
    <w:rsid w:val="0059591E"/>
    <w:rsid w:val="00595BAC"/>
    <w:rsid w:val="0059669D"/>
    <w:rsid w:val="00596766"/>
    <w:rsid w:val="0059773D"/>
    <w:rsid w:val="00597B37"/>
    <w:rsid w:val="00597F32"/>
    <w:rsid w:val="005A0685"/>
    <w:rsid w:val="005A06DD"/>
    <w:rsid w:val="005A0B6F"/>
    <w:rsid w:val="005A16E4"/>
    <w:rsid w:val="005A1E2B"/>
    <w:rsid w:val="005A292D"/>
    <w:rsid w:val="005A2C9B"/>
    <w:rsid w:val="005A3198"/>
    <w:rsid w:val="005A397A"/>
    <w:rsid w:val="005A3BBC"/>
    <w:rsid w:val="005A5C70"/>
    <w:rsid w:val="005A63EB"/>
    <w:rsid w:val="005A6638"/>
    <w:rsid w:val="005A71A5"/>
    <w:rsid w:val="005A7BED"/>
    <w:rsid w:val="005B04C1"/>
    <w:rsid w:val="005B0854"/>
    <w:rsid w:val="005B0C8E"/>
    <w:rsid w:val="005B1F14"/>
    <w:rsid w:val="005B204C"/>
    <w:rsid w:val="005B22AD"/>
    <w:rsid w:val="005B2EE9"/>
    <w:rsid w:val="005B37F4"/>
    <w:rsid w:val="005B3A0E"/>
    <w:rsid w:val="005B3D80"/>
    <w:rsid w:val="005B45BF"/>
    <w:rsid w:val="005B4B9B"/>
    <w:rsid w:val="005B5E2A"/>
    <w:rsid w:val="005B5FEC"/>
    <w:rsid w:val="005B6B4E"/>
    <w:rsid w:val="005B6FE3"/>
    <w:rsid w:val="005B7923"/>
    <w:rsid w:val="005C063B"/>
    <w:rsid w:val="005C0682"/>
    <w:rsid w:val="005C112D"/>
    <w:rsid w:val="005C19AC"/>
    <w:rsid w:val="005C2AB0"/>
    <w:rsid w:val="005C378A"/>
    <w:rsid w:val="005C3EDD"/>
    <w:rsid w:val="005C40E2"/>
    <w:rsid w:val="005C4397"/>
    <w:rsid w:val="005C53B3"/>
    <w:rsid w:val="005C55AA"/>
    <w:rsid w:val="005C57E4"/>
    <w:rsid w:val="005C5801"/>
    <w:rsid w:val="005C590B"/>
    <w:rsid w:val="005C5E38"/>
    <w:rsid w:val="005C7226"/>
    <w:rsid w:val="005D078D"/>
    <w:rsid w:val="005D0F2D"/>
    <w:rsid w:val="005D1510"/>
    <w:rsid w:val="005D3078"/>
    <w:rsid w:val="005D347C"/>
    <w:rsid w:val="005D3D6D"/>
    <w:rsid w:val="005D57B6"/>
    <w:rsid w:val="005D6179"/>
    <w:rsid w:val="005D707C"/>
    <w:rsid w:val="005E03BC"/>
    <w:rsid w:val="005E14AB"/>
    <w:rsid w:val="005E17FD"/>
    <w:rsid w:val="005E19D8"/>
    <w:rsid w:val="005E1B21"/>
    <w:rsid w:val="005E2AF4"/>
    <w:rsid w:val="005E36E0"/>
    <w:rsid w:val="005E4766"/>
    <w:rsid w:val="005E4934"/>
    <w:rsid w:val="005E4E46"/>
    <w:rsid w:val="005E4E8B"/>
    <w:rsid w:val="005E4ED4"/>
    <w:rsid w:val="005E528E"/>
    <w:rsid w:val="005E539A"/>
    <w:rsid w:val="005E55E6"/>
    <w:rsid w:val="005E57DE"/>
    <w:rsid w:val="005E5C7F"/>
    <w:rsid w:val="005E60F6"/>
    <w:rsid w:val="005E6460"/>
    <w:rsid w:val="005E68BE"/>
    <w:rsid w:val="005E70BF"/>
    <w:rsid w:val="005E776E"/>
    <w:rsid w:val="005E7DAC"/>
    <w:rsid w:val="005E7E4F"/>
    <w:rsid w:val="005E7E9E"/>
    <w:rsid w:val="005F05FD"/>
    <w:rsid w:val="005F0C61"/>
    <w:rsid w:val="005F0CBE"/>
    <w:rsid w:val="005F0D8C"/>
    <w:rsid w:val="005F14E8"/>
    <w:rsid w:val="005F15FC"/>
    <w:rsid w:val="005F1BD0"/>
    <w:rsid w:val="005F269D"/>
    <w:rsid w:val="005F2A36"/>
    <w:rsid w:val="005F3945"/>
    <w:rsid w:val="005F45A3"/>
    <w:rsid w:val="005F48E4"/>
    <w:rsid w:val="005F4F98"/>
    <w:rsid w:val="005F5128"/>
    <w:rsid w:val="005F5762"/>
    <w:rsid w:val="005F6951"/>
    <w:rsid w:val="005F7644"/>
    <w:rsid w:val="00600298"/>
    <w:rsid w:val="00600366"/>
    <w:rsid w:val="00600CA2"/>
    <w:rsid w:val="00601618"/>
    <w:rsid w:val="0060259B"/>
    <w:rsid w:val="006030DD"/>
    <w:rsid w:val="00603AC7"/>
    <w:rsid w:val="00603E6C"/>
    <w:rsid w:val="00604C68"/>
    <w:rsid w:val="00604FBC"/>
    <w:rsid w:val="0060518F"/>
    <w:rsid w:val="00605E60"/>
    <w:rsid w:val="00606406"/>
    <w:rsid w:val="00607967"/>
    <w:rsid w:val="00611F27"/>
    <w:rsid w:val="0061205C"/>
    <w:rsid w:val="0061239C"/>
    <w:rsid w:val="00612EB1"/>
    <w:rsid w:val="00612F88"/>
    <w:rsid w:val="00613D18"/>
    <w:rsid w:val="00613FB6"/>
    <w:rsid w:val="006143FB"/>
    <w:rsid w:val="006146A2"/>
    <w:rsid w:val="00614FD0"/>
    <w:rsid w:val="00615869"/>
    <w:rsid w:val="00615D4F"/>
    <w:rsid w:val="00615D56"/>
    <w:rsid w:val="0062112D"/>
    <w:rsid w:val="00621BF1"/>
    <w:rsid w:val="00621FB1"/>
    <w:rsid w:val="00623325"/>
    <w:rsid w:val="006236C7"/>
    <w:rsid w:val="006245E5"/>
    <w:rsid w:val="0062605B"/>
    <w:rsid w:val="006263C6"/>
    <w:rsid w:val="00626AD4"/>
    <w:rsid w:val="00627F0A"/>
    <w:rsid w:val="00627FE7"/>
    <w:rsid w:val="00630440"/>
    <w:rsid w:val="006307DA"/>
    <w:rsid w:val="0063150D"/>
    <w:rsid w:val="006318CE"/>
    <w:rsid w:val="00632547"/>
    <w:rsid w:val="00633B3B"/>
    <w:rsid w:val="00634295"/>
    <w:rsid w:val="006342D4"/>
    <w:rsid w:val="0063589B"/>
    <w:rsid w:val="00635CFE"/>
    <w:rsid w:val="00636632"/>
    <w:rsid w:val="00636CB1"/>
    <w:rsid w:val="00640003"/>
    <w:rsid w:val="0064029F"/>
    <w:rsid w:val="0064044D"/>
    <w:rsid w:val="0064113A"/>
    <w:rsid w:val="00641B27"/>
    <w:rsid w:val="00642879"/>
    <w:rsid w:val="00642884"/>
    <w:rsid w:val="00642A23"/>
    <w:rsid w:val="00642DE0"/>
    <w:rsid w:val="0064332D"/>
    <w:rsid w:val="00643CCC"/>
    <w:rsid w:val="006455C4"/>
    <w:rsid w:val="00645B1E"/>
    <w:rsid w:val="00645B74"/>
    <w:rsid w:val="00646189"/>
    <w:rsid w:val="00646295"/>
    <w:rsid w:val="006469FB"/>
    <w:rsid w:val="00647238"/>
    <w:rsid w:val="00647509"/>
    <w:rsid w:val="00647ACF"/>
    <w:rsid w:val="0065025E"/>
    <w:rsid w:val="00650C5C"/>
    <w:rsid w:val="006511E0"/>
    <w:rsid w:val="00651CDD"/>
    <w:rsid w:val="0065219D"/>
    <w:rsid w:val="00652511"/>
    <w:rsid w:val="00652D6A"/>
    <w:rsid w:val="00652F61"/>
    <w:rsid w:val="006531B0"/>
    <w:rsid w:val="0065369E"/>
    <w:rsid w:val="00653A3C"/>
    <w:rsid w:val="00653D36"/>
    <w:rsid w:val="006540B1"/>
    <w:rsid w:val="00654235"/>
    <w:rsid w:val="00655B26"/>
    <w:rsid w:val="0065657B"/>
    <w:rsid w:val="006569AA"/>
    <w:rsid w:val="00656E2D"/>
    <w:rsid w:val="00656E89"/>
    <w:rsid w:val="0065741B"/>
    <w:rsid w:val="00657635"/>
    <w:rsid w:val="00657DD2"/>
    <w:rsid w:val="00660082"/>
    <w:rsid w:val="00660837"/>
    <w:rsid w:val="00660B39"/>
    <w:rsid w:val="00660CE9"/>
    <w:rsid w:val="00662138"/>
    <w:rsid w:val="006624CA"/>
    <w:rsid w:val="006629D9"/>
    <w:rsid w:val="00663596"/>
    <w:rsid w:val="00664A7A"/>
    <w:rsid w:val="00664C4F"/>
    <w:rsid w:val="006651C5"/>
    <w:rsid w:val="0066596C"/>
    <w:rsid w:val="00666D83"/>
    <w:rsid w:val="00671262"/>
    <w:rsid w:val="006712FA"/>
    <w:rsid w:val="00671516"/>
    <w:rsid w:val="00671BC1"/>
    <w:rsid w:val="00671BFD"/>
    <w:rsid w:val="00671F7E"/>
    <w:rsid w:val="006725C2"/>
    <w:rsid w:val="00672696"/>
    <w:rsid w:val="00672F5D"/>
    <w:rsid w:val="006730B5"/>
    <w:rsid w:val="0067310E"/>
    <w:rsid w:val="006739C6"/>
    <w:rsid w:val="00673FA0"/>
    <w:rsid w:val="00674D97"/>
    <w:rsid w:val="0067504F"/>
    <w:rsid w:val="00675A3E"/>
    <w:rsid w:val="0067759D"/>
    <w:rsid w:val="00677C2A"/>
    <w:rsid w:val="00677CBB"/>
    <w:rsid w:val="006802ED"/>
    <w:rsid w:val="00680791"/>
    <w:rsid w:val="006807D0"/>
    <w:rsid w:val="00681396"/>
    <w:rsid w:val="006816D4"/>
    <w:rsid w:val="00681EB5"/>
    <w:rsid w:val="0068252D"/>
    <w:rsid w:val="00682942"/>
    <w:rsid w:val="006835D2"/>
    <w:rsid w:val="00683625"/>
    <w:rsid w:val="00683E82"/>
    <w:rsid w:val="00683EEB"/>
    <w:rsid w:val="0068440C"/>
    <w:rsid w:val="00684C08"/>
    <w:rsid w:val="00684F6D"/>
    <w:rsid w:val="00685328"/>
    <w:rsid w:val="006855F6"/>
    <w:rsid w:val="00685B98"/>
    <w:rsid w:val="0068651E"/>
    <w:rsid w:val="0068712B"/>
    <w:rsid w:val="006871BC"/>
    <w:rsid w:val="00687374"/>
    <w:rsid w:val="00687CD1"/>
    <w:rsid w:val="0069083F"/>
    <w:rsid w:val="00691067"/>
    <w:rsid w:val="006915E3"/>
    <w:rsid w:val="00691DD7"/>
    <w:rsid w:val="0069248D"/>
    <w:rsid w:val="00692D23"/>
    <w:rsid w:val="00693DA7"/>
    <w:rsid w:val="00694307"/>
    <w:rsid w:val="00694487"/>
    <w:rsid w:val="0069497B"/>
    <w:rsid w:val="00695B67"/>
    <w:rsid w:val="00695E84"/>
    <w:rsid w:val="0069648F"/>
    <w:rsid w:val="00696FEF"/>
    <w:rsid w:val="006A01E9"/>
    <w:rsid w:val="006A056C"/>
    <w:rsid w:val="006A17E5"/>
    <w:rsid w:val="006A1FFB"/>
    <w:rsid w:val="006A2440"/>
    <w:rsid w:val="006A2831"/>
    <w:rsid w:val="006A28E0"/>
    <w:rsid w:val="006A2CA6"/>
    <w:rsid w:val="006A2E88"/>
    <w:rsid w:val="006A2EBD"/>
    <w:rsid w:val="006A3043"/>
    <w:rsid w:val="006A35E8"/>
    <w:rsid w:val="006A36FB"/>
    <w:rsid w:val="006A4201"/>
    <w:rsid w:val="006A420C"/>
    <w:rsid w:val="006A43E0"/>
    <w:rsid w:val="006A44FE"/>
    <w:rsid w:val="006A48E1"/>
    <w:rsid w:val="006A502C"/>
    <w:rsid w:val="006A58A3"/>
    <w:rsid w:val="006A59C1"/>
    <w:rsid w:val="006A64E5"/>
    <w:rsid w:val="006A6682"/>
    <w:rsid w:val="006A66DE"/>
    <w:rsid w:val="006A6FF6"/>
    <w:rsid w:val="006A71F1"/>
    <w:rsid w:val="006A720D"/>
    <w:rsid w:val="006A72BB"/>
    <w:rsid w:val="006A7A40"/>
    <w:rsid w:val="006A7BC9"/>
    <w:rsid w:val="006B0680"/>
    <w:rsid w:val="006B0711"/>
    <w:rsid w:val="006B10D0"/>
    <w:rsid w:val="006B1E66"/>
    <w:rsid w:val="006B1EB8"/>
    <w:rsid w:val="006B295A"/>
    <w:rsid w:val="006B33C1"/>
    <w:rsid w:val="006B3432"/>
    <w:rsid w:val="006B393D"/>
    <w:rsid w:val="006B5342"/>
    <w:rsid w:val="006B5480"/>
    <w:rsid w:val="006B56EF"/>
    <w:rsid w:val="006B62AB"/>
    <w:rsid w:val="006B6903"/>
    <w:rsid w:val="006B6C26"/>
    <w:rsid w:val="006B6CBE"/>
    <w:rsid w:val="006B7436"/>
    <w:rsid w:val="006B77F2"/>
    <w:rsid w:val="006B7AB7"/>
    <w:rsid w:val="006B7CB1"/>
    <w:rsid w:val="006B7E9F"/>
    <w:rsid w:val="006C053D"/>
    <w:rsid w:val="006C0C00"/>
    <w:rsid w:val="006C1123"/>
    <w:rsid w:val="006C4779"/>
    <w:rsid w:val="006C51DC"/>
    <w:rsid w:val="006C5C00"/>
    <w:rsid w:val="006C6BAE"/>
    <w:rsid w:val="006C6C5F"/>
    <w:rsid w:val="006C7E9C"/>
    <w:rsid w:val="006D06F3"/>
    <w:rsid w:val="006D1C8D"/>
    <w:rsid w:val="006D20D1"/>
    <w:rsid w:val="006D4786"/>
    <w:rsid w:val="006D5227"/>
    <w:rsid w:val="006D5321"/>
    <w:rsid w:val="006D5498"/>
    <w:rsid w:val="006D663C"/>
    <w:rsid w:val="006D73B1"/>
    <w:rsid w:val="006D7BF9"/>
    <w:rsid w:val="006E028E"/>
    <w:rsid w:val="006E05B9"/>
    <w:rsid w:val="006E106B"/>
    <w:rsid w:val="006E1DA2"/>
    <w:rsid w:val="006E2102"/>
    <w:rsid w:val="006E23F2"/>
    <w:rsid w:val="006E2D78"/>
    <w:rsid w:val="006E351E"/>
    <w:rsid w:val="006E3721"/>
    <w:rsid w:val="006E3EC6"/>
    <w:rsid w:val="006E41D4"/>
    <w:rsid w:val="006E4300"/>
    <w:rsid w:val="006E4788"/>
    <w:rsid w:val="006E488D"/>
    <w:rsid w:val="006E4BB4"/>
    <w:rsid w:val="006E4ED8"/>
    <w:rsid w:val="006E58F1"/>
    <w:rsid w:val="006E59A3"/>
    <w:rsid w:val="006E5BC3"/>
    <w:rsid w:val="006E61AD"/>
    <w:rsid w:val="006E75E7"/>
    <w:rsid w:val="006F07E8"/>
    <w:rsid w:val="006F07FE"/>
    <w:rsid w:val="006F1CB3"/>
    <w:rsid w:val="006F1CF6"/>
    <w:rsid w:val="006F478D"/>
    <w:rsid w:val="006F4F78"/>
    <w:rsid w:val="006F604E"/>
    <w:rsid w:val="006F61EB"/>
    <w:rsid w:val="006F6355"/>
    <w:rsid w:val="006F6665"/>
    <w:rsid w:val="006F66B2"/>
    <w:rsid w:val="006F6750"/>
    <w:rsid w:val="006F70F9"/>
    <w:rsid w:val="006F7D55"/>
    <w:rsid w:val="00700F3D"/>
    <w:rsid w:val="00701E82"/>
    <w:rsid w:val="007021D3"/>
    <w:rsid w:val="0070246B"/>
    <w:rsid w:val="007032BD"/>
    <w:rsid w:val="007046D9"/>
    <w:rsid w:val="00704C3D"/>
    <w:rsid w:val="00704EE8"/>
    <w:rsid w:val="007058E3"/>
    <w:rsid w:val="007068EC"/>
    <w:rsid w:val="00706BCF"/>
    <w:rsid w:val="00706ED3"/>
    <w:rsid w:val="00707DF9"/>
    <w:rsid w:val="00707E94"/>
    <w:rsid w:val="00710F5A"/>
    <w:rsid w:val="0071106A"/>
    <w:rsid w:val="00711EDD"/>
    <w:rsid w:val="00711FC3"/>
    <w:rsid w:val="007120BF"/>
    <w:rsid w:val="007126CE"/>
    <w:rsid w:val="00712E45"/>
    <w:rsid w:val="00714020"/>
    <w:rsid w:val="0071428E"/>
    <w:rsid w:val="00714756"/>
    <w:rsid w:val="00714D16"/>
    <w:rsid w:val="00714F0E"/>
    <w:rsid w:val="007153C7"/>
    <w:rsid w:val="00715A71"/>
    <w:rsid w:val="00716F19"/>
    <w:rsid w:val="00716F46"/>
    <w:rsid w:val="00717D89"/>
    <w:rsid w:val="00720278"/>
    <w:rsid w:val="007209C6"/>
    <w:rsid w:val="00720C0D"/>
    <w:rsid w:val="00720FA5"/>
    <w:rsid w:val="007217D6"/>
    <w:rsid w:val="00721AA6"/>
    <w:rsid w:val="007220ED"/>
    <w:rsid w:val="00722D29"/>
    <w:rsid w:val="00723543"/>
    <w:rsid w:val="00723CDE"/>
    <w:rsid w:val="00724221"/>
    <w:rsid w:val="00724E2E"/>
    <w:rsid w:val="007254B6"/>
    <w:rsid w:val="00725840"/>
    <w:rsid w:val="0072598F"/>
    <w:rsid w:val="0072624C"/>
    <w:rsid w:val="007267C4"/>
    <w:rsid w:val="0072684E"/>
    <w:rsid w:val="00726A20"/>
    <w:rsid w:val="00730400"/>
    <w:rsid w:val="0073066F"/>
    <w:rsid w:val="00731D61"/>
    <w:rsid w:val="00732210"/>
    <w:rsid w:val="0073433B"/>
    <w:rsid w:val="007357DF"/>
    <w:rsid w:val="00735ADA"/>
    <w:rsid w:val="00735B15"/>
    <w:rsid w:val="00736BC8"/>
    <w:rsid w:val="00737BE5"/>
    <w:rsid w:val="007409E1"/>
    <w:rsid w:val="00740E95"/>
    <w:rsid w:val="00740FA8"/>
    <w:rsid w:val="007410E9"/>
    <w:rsid w:val="00741E33"/>
    <w:rsid w:val="007422BB"/>
    <w:rsid w:val="007442DA"/>
    <w:rsid w:val="007455AE"/>
    <w:rsid w:val="00746C7E"/>
    <w:rsid w:val="00746CE7"/>
    <w:rsid w:val="00746D8C"/>
    <w:rsid w:val="0074769F"/>
    <w:rsid w:val="00747A50"/>
    <w:rsid w:val="00747BFA"/>
    <w:rsid w:val="007502F1"/>
    <w:rsid w:val="0075073A"/>
    <w:rsid w:val="00751231"/>
    <w:rsid w:val="0075186A"/>
    <w:rsid w:val="00751934"/>
    <w:rsid w:val="007519E0"/>
    <w:rsid w:val="00751B25"/>
    <w:rsid w:val="007521B6"/>
    <w:rsid w:val="0075268D"/>
    <w:rsid w:val="00752DF5"/>
    <w:rsid w:val="0075329C"/>
    <w:rsid w:val="0075394A"/>
    <w:rsid w:val="00754580"/>
    <w:rsid w:val="00754C11"/>
    <w:rsid w:val="00755007"/>
    <w:rsid w:val="00755356"/>
    <w:rsid w:val="00755641"/>
    <w:rsid w:val="00757B91"/>
    <w:rsid w:val="007604C2"/>
    <w:rsid w:val="00760F9C"/>
    <w:rsid w:val="00760FF0"/>
    <w:rsid w:val="007622F8"/>
    <w:rsid w:val="00762E16"/>
    <w:rsid w:val="00762E75"/>
    <w:rsid w:val="00763E64"/>
    <w:rsid w:val="007641A9"/>
    <w:rsid w:val="00764469"/>
    <w:rsid w:val="00764E0A"/>
    <w:rsid w:val="00765004"/>
    <w:rsid w:val="00765B03"/>
    <w:rsid w:val="00767C8D"/>
    <w:rsid w:val="00767F7F"/>
    <w:rsid w:val="007703A2"/>
    <w:rsid w:val="007704D5"/>
    <w:rsid w:val="00770622"/>
    <w:rsid w:val="00770819"/>
    <w:rsid w:val="00771184"/>
    <w:rsid w:val="00771BE0"/>
    <w:rsid w:val="00772040"/>
    <w:rsid w:val="00772047"/>
    <w:rsid w:val="0077366F"/>
    <w:rsid w:val="007739C3"/>
    <w:rsid w:val="0077402B"/>
    <w:rsid w:val="00774057"/>
    <w:rsid w:val="0077436E"/>
    <w:rsid w:val="00774507"/>
    <w:rsid w:val="007745EF"/>
    <w:rsid w:val="007748D9"/>
    <w:rsid w:val="00775809"/>
    <w:rsid w:val="00775855"/>
    <w:rsid w:val="007769BD"/>
    <w:rsid w:val="007775CA"/>
    <w:rsid w:val="00777DC6"/>
    <w:rsid w:val="00781374"/>
    <w:rsid w:val="0078149D"/>
    <w:rsid w:val="0078151D"/>
    <w:rsid w:val="00781611"/>
    <w:rsid w:val="0078246B"/>
    <w:rsid w:val="00782751"/>
    <w:rsid w:val="0078283D"/>
    <w:rsid w:val="00783D16"/>
    <w:rsid w:val="00784E4B"/>
    <w:rsid w:val="00785091"/>
    <w:rsid w:val="007851F6"/>
    <w:rsid w:val="0078526D"/>
    <w:rsid w:val="00786E9C"/>
    <w:rsid w:val="00786F39"/>
    <w:rsid w:val="00787363"/>
    <w:rsid w:val="00787480"/>
    <w:rsid w:val="00787495"/>
    <w:rsid w:val="0078789E"/>
    <w:rsid w:val="00787919"/>
    <w:rsid w:val="00787E8F"/>
    <w:rsid w:val="00790116"/>
    <w:rsid w:val="007903E5"/>
    <w:rsid w:val="00790E52"/>
    <w:rsid w:val="00791679"/>
    <w:rsid w:val="00791DE1"/>
    <w:rsid w:val="007924EC"/>
    <w:rsid w:val="0079281B"/>
    <w:rsid w:val="00792C6F"/>
    <w:rsid w:val="0079340D"/>
    <w:rsid w:val="00793ED6"/>
    <w:rsid w:val="00795A4A"/>
    <w:rsid w:val="00796096"/>
    <w:rsid w:val="0079631F"/>
    <w:rsid w:val="00796981"/>
    <w:rsid w:val="00796F17"/>
    <w:rsid w:val="007971FF"/>
    <w:rsid w:val="00797426"/>
    <w:rsid w:val="0079769A"/>
    <w:rsid w:val="007976A9"/>
    <w:rsid w:val="007978FE"/>
    <w:rsid w:val="007A04E2"/>
    <w:rsid w:val="007A0F28"/>
    <w:rsid w:val="007A1353"/>
    <w:rsid w:val="007A1C92"/>
    <w:rsid w:val="007A2078"/>
    <w:rsid w:val="007A2B26"/>
    <w:rsid w:val="007A2DA8"/>
    <w:rsid w:val="007A3000"/>
    <w:rsid w:val="007A32A3"/>
    <w:rsid w:val="007A453B"/>
    <w:rsid w:val="007A4CD2"/>
    <w:rsid w:val="007A5B79"/>
    <w:rsid w:val="007A6224"/>
    <w:rsid w:val="007A76BD"/>
    <w:rsid w:val="007A7A8A"/>
    <w:rsid w:val="007A7CDB"/>
    <w:rsid w:val="007B03A6"/>
    <w:rsid w:val="007B04C2"/>
    <w:rsid w:val="007B0F60"/>
    <w:rsid w:val="007B1340"/>
    <w:rsid w:val="007B2EDA"/>
    <w:rsid w:val="007B3306"/>
    <w:rsid w:val="007B37F0"/>
    <w:rsid w:val="007B3C4B"/>
    <w:rsid w:val="007B40FD"/>
    <w:rsid w:val="007B413E"/>
    <w:rsid w:val="007B6239"/>
    <w:rsid w:val="007B62D9"/>
    <w:rsid w:val="007B682F"/>
    <w:rsid w:val="007B68B5"/>
    <w:rsid w:val="007B739B"/>
    <w:rsid w:val="007B7820"/>
    <w:rsid w:val="007C02D3"/>
    <w:rsid w:val="007C072E"/>
    <w:rsid w:val="007C0880"/>
    <w:rsid w:val="007C1407"/>
    <w:rsid w:val="007C15D9"/>
    <w:rsid w:val="007C1AB8"/>
    <w:rsid w:val="007C1BD6"/>
    <w:rsid w:val="007C1EF9"/>
    <w:rsid w:val="007C26CB"/>
    <w:rsid w:val="007C2855"/>
    <w:rsid w:val="007C2BC5"/>
    <w:rsid w:val="007C3145"/>
    <w:rsid w:val="007C36A1"/>
    <w:rsid w:val="007C37C2"/>
    <w:rsid w:val="007C445D"/>
    <w:rsid w:val="007C51E9"/>
    <w:rsid w:val="007C564E"/>
    <w:rsid w:val="007C5906"/>
    <w:rsid w:val="007C5BEE"/>
    <w:rsid w:val="007C6432"/>
    <w:rsid w:val="007C675C"/>
    <w:rsid w:val="007D0840"/>
    <w:rsid w:val="007D1438"/>
    <w:rsid w:val="007D1525"/>
    <w:rsid w:val="007D15E8"/>
    <w:rsid w:val="007D220B"/>
    <w:rsid w:val="007D2853"/>
    <w:rsid w:val="007D367B"/>
    <w:rsid w:val="007D4795"/>
    <w:rsid w:val="007D4A44"/>
    <w:rsid w:val="007D4B12"/>
    <w:rsid w:val="007D63F4"/>
    <w:rsid w:val="007D6560"/>
    <w:rsid w:val="007D6F9E"/>
    <w:rsid w:val="007D72FA"/>
    <w:rsid w:val="007D778E"/>
    <w:rsid w:val="007D7951"/>
    <w:rsid w:val="007D7AC8"/>
    <w:rsid w:val="007E1361"/>
    <w:rsid w:val="007E161D"/>
    <w:rsid w:val="007E16D6"/>
    <w:rsid w:val="007E1CB4"/>
    <w:rsid w:val="007E1D55"/>
    <w:rsid w:val="007E2498"/>
    <w:rsid w:val="007E2520"/>
    <w:rsid w:val="007E2AAA"/>
    <w:rsid w:val="007E2C1E"/>
    <w:rsid w:val="007E2E8E"/>
    <w:rsid w:val="007E3890"/>
    <w:rsid w:val="007E41B2"/>
    <w:rsid w:val="007E4F3A"/>
    <w:rsid w:val="007E5E26"/>
    <w:rsid w:val="007E62F7"/>
    <w:rsid w:val="007E6A87"/>
    <w:rsid w:val="007E728B"/>
    <w:rsid w:val="007E7498"/>
    <w:rsid w:val="007F0052"/>
    <w:rsid w:val="007F16DE"/>
    <w:rsid w:val="007F1A9B"/>
    <w:rsid w:val="007F23DD"/>
    <w:rsid w:val="007F2806"/>
    <w:rsid w:val="007F4229"/>
    <w:rsid w:val="007F4C0D"/>
    <w:rsid w:val="007F5A90"/>
    <w:rsid w:val="007F6389"/>
    <w:rsid w:val="007F6E72"/>
    <w:rsid w:val="007F6ECE"/>
    <w:rsid w:val="007F7403"/>
    <w:rsid w:val="008016A1"/>
    <w:rsid w:val="008018A9"/>
    <w:rsid w:val="00801955"/>
    <w:rsid w:val="00802E7A"/>
    <w:rsid w:val="00802F3E"/>
    <w:rsid w:val="00802FAB"/>
    <w:rsid w:val="008040A2"/>
    <w:rsid w:val="00804B72"/>
    <w:rsid w:val="00805A55"/>
    <w:rsid w:val="008066A1"/>
    <w:rsid w:val="00806D37"/>
    <w:rsid w:val="00807089"/>
    <w:rsid w:val="008072D2"/>
    <w:rsid w:val="0080752B"/>
    <w:rsid w:val="00807B5B"/>
    <w:rsid w:val="00807B87"/>
    <w:rsid w:val="00807C5C"/>
    <w:rsid w:val="00811724"/>
    <w:rsid w:val="0081195B"/>
    <w:rsid w:val="00811F32"/>
    <w:rsid w:val="00812A47"/>
    <w:rsid w:val="00812C63"/>
    <w:rsid w:val="00814499"/>
    <w:rsid w:val="008148DE"/>
    <w:rsid w:val="0081492D"/>
    <w:rsid w:val="00814E3D"/>
    <w:rsid w:val="00814F21"/>
    <w:rsid w:val="008152EA"/>
    <w:rsid w:val="0081553E"/>
    <w:rsid w:val="008157B8"/>
    <w:rsid w:val="00815D35"/>
    <w:rsid w:val="0081611F"/>
    <w:rsid w:val="00816282"/>
    <w:rsid w:val="0081747C"/>
    <w:rsid w:val="00817993"/>
    <w:rsid w:val="00817A56"/>
    <w:rsid w:val="00817DE1"/>
    <w:rsid w:val="0082034B"/>
    <w:rsid w:val="00820FEF"/>
    <w:rsid w:val="00822777"/>
    <w:rsid w:val="00822C40"/>
    <w:rsid w:val="00822C7A"/>
    <w:rsid w:val="00822EBB"/>
    <w:rsid w:val="00823508"/>
    <w:rsid w:val="00823B96"/>
    <w:rsid w:val="00823F89"/>
    <w:rsid w:val="00825761"/>
    <w:rsid w:val="008263D2"/>
    <w:rsid w:val="00826869"/>
    <w:rsid w:val="00827053"/>
    <w:rsid w:val="0082706E"/>
    <w:rsid w:val="00827C76"/>
    <w:rsid w:val="00831507"/>
    <w:rsid w:val="00831EA3"/>
    <w:rsid w:val="00831F97"/>
    <w:rsid w:val="008324D3"/>
    <w:rsid w:val="008327A9"/>
    <w:rsid w:val="00832EA4"/>
    <w:rsid w:val="0083321E"/>
    <w:rsid w:val="008338C6"/>
    <w:rsid w:val="00834014"/>
    <w:rsid w:val="008344D5"/>
    <w:rsid w:val="00835380"/>
    <w:rsid w:val="00835576"/>
    <w:rsid w:val="008358DD"/>
    <w:rsid w:val="00835C25"/>
    <w:rsid w:val="00835ECA"/>
    <w:rsid w:val="00836427"/>
    <w:rsid w:val="00836FD3"/>
    <w:rsid w:val="008372CE"/>
    <w:rsid w:val="00837305"/>
    <w:rsid w:val="00837F5D"/>
    <w:rsid w:val="00840006"/>
    <w:rsid w:val="00840097"/>
    <w:rsid w:val="00840312"/>
    <w:rsid w:val="00840AD0"/>
    <w:rsid w:val="00840C7B"/>
    <w:rsid w:val="00842F00"/>
    <w:rsid w:val="00842F45"/>
    <w:rsid w:val="0084354F"/>
    <w:rsid w:val="00843ED6"/>
    <w:rsid w:val="00844042"/>
    <w:rsid w:val="00844B6D"/>
    <w:rsid w:val="00844E38"/>
    <w:rsid w:val="00845A7D"/>
    <w:rsid w:val="00845DBC"/>
    <w:rsid w:val="00846626"/>
    <w:rsid w:val="00847D96"/>
    <w:rsid w:val="008506D5"/>
    <w:rsid w:val="0085121A"/>
    <w:rsid w:val="008513A7"/>
    <w:rsid w:val="00851AD6"/>
    <w:rsid w:val="008526DC"/>
    <w:rsid w:val="00852EBE"/>
    <w:rsid w:val="00853023"/>
    <w:rsid w:val="00854358"/>
    <w:rsid w:val="0085441C"/>
    <w:rsid w:val="00854CC4"/>
    <w:rsid w:val="00855378"/>
    <w:rsid w:val="00855BB4"/>
    <w:rsid w:val="00856C9D"/>
    <w:rsid w:val="0085720A"/>
    <w:rsid w:val="008606C5"/>
    <w:rsid w:val="00860F5A"/>
    <w:rsid w:val="00863294"/>
    <w:rsid w:val="00863B7F"/>
    <w:rsid w:val="00864B1B"/>
    <w:rsid w:val="00865334"/>
    <w:rsid w:val="00865462"/>
    <w:rsid w:val="0086593A"/>
    <w:rsid w:val="00865E0B"/>
    <w:rsid w:val="0086604F"/>
    <w:rsid w:val="008665A9"/>
    <w:rsid w:val="008669D0"/>
    <w:rsid w:val="00866D52"/>
    <w:rsid w:val="00867A77"/>
    <w:rsid w:val="008709E2"/>
    <w:rsid w:val="00870FF7"/>
    <w:rsid w:val="00871985"/>
    <w:rsid w:val="00872107"/>
    <w:rsid w:val="008733EF"/>
    <w:rsid w:val="00874A78"/>
    <w:rsid w:val="00874AD0"/>
    <w:rsid w:val="00874C1D"/>
    <w:rsid w:val="00875A29"/>
    <w:rsid w:val="00875B9F"/>
    <w:rsid w:val="008764B2"/>
    <w:rsid w:val="008772A4"/>
    <w:rsid w:val="0087772B"/>
    <w:rsid w:val="0087780F"/>
    <w:rsid w:val="0087796F"/>
    <w:rsid w:val="00877B92"/>
    <w:rsid w:val="00877FAB"/>
    <w:rsid w:val="008805B0"/>
    <w:rsid w:val="008816F7"/>
    <w:rsid w:val="00881B44"/>
    <w:rsid w:val="00882132"/>
    <w:rsid w:val="00882477"/>
    <w:rsid w:val="00882AFE"/>
    <w:rsid w:val="00882CFA"/>
    <w:rsid w:val="00882D7B"/>
    <w:rsid w:val="00882ED2"/>
    <w:rsid w:val="00883765"/>
    <w:rsid w:val="008837AD"/>
    <w:rsid w:val="00883817"/>
    <w:rsid w:val="00883AF2"/>
    <w:rsid w:val="008841BF"/>
    <w:rsid w:val="008844C9"/>
    <w:rsid w:val="00884E24"/>
    <w:rsid w:val="00884F14"/>
    <w:rsid w:val="00884FE5"/>
    <w:rsid w:val="008851BE"/>
    <w:rsid w:val="0088555C"/>
    <w:rsid w:val="008861A3"/>
    <w:rsid w:val="008901FF"/>
    <w:rsid w:val="00890A51"/>
    <w:rsid w:val="00890DB8"/>
    <w:rsid w:val="00890FB7"/>
    <w:rsid w:val="00891004"/>
    <w:rsid w:val="00891191"/>
    <w:rsid w:val="00891A01"/>
    <w:rsid w:val="00892063"/>
    <w:rsid w:val="0089322D"/>
    <w:rsid w:val="00893949"/>
    <w:rsid w:val="00895000"/>
    <w:rsid w:val="008954CB"/>
    <w:rsid w:val="00895E40"/>
    <w:rsid w:val="008969EF"/>
    <w:rsid w:val="00896CE6"/>
    <w:rsid w:val="00896E91"/>
    <w:rsid w:val="00896F0E"/>
    <w:rsid w:val="00897148"/>
    <w:rsid w:val="008A1564"/>
    <w:rsid w:val="008A2DF9"/>
    <w:rsid w:val="008A3E69"/>
    <w:rsid w:val="008A4542"/>
    <w:rsid w:val="008A46C6"/>
    <w:rsid w:val="008A4892"/>
    <w:rsid w:val="008A4D94"/>
    <w:rsid w:val="008A4E52"/>
    <w:rsid w:val="008A5277"/>
    <w:rsid w:val="008A54C0"/>
    <w:rsid w:val="008A5602"/>
    <w:rsid w:val="008A56C9"/>
    <w:rsid w:val="008A5AFE"/>
    <w:rsid w:val="008A616F"/>
    <w:rsid w:val="008A64BA"/>
    <w:rsid w:val="008A674B"/>
    <w:rsid w:val="008A736E"/>
    <w:rsid w:val="008A79D8"/>
    <w:rsid w:val="008B1158"/>
    <w:rsid w:val="008B140D"/>
    <w:rsid w:val="008B15F7"/>
    <w:rsid w:val="008B2728"/>
    <w:rsid w:val="008B2833"/>
    <w:rsid w:val="008B2A76"/>
    <w:rsid w:val="008B3183"/>
    <w:rsid w:val="008B35C4"/>
    <w:rsid w:val="008B38BB"/>
    <w:rsid w:val="008B3BE0"/>
    <w:rsid w:val="008B4087"/>
    <w:rsid w:val="008B559C"/>
    <w:rsid w:val="008B5B21"/>
    <w:rsid w:val="008B5C2F"/>
    <w:rsid w:val="008B6CB0"/>
    <w:rsid w:val="008B70CF"/>
    <w:rsid w:val="008B76C9"/>
    <w:rsid w:val="008C023F"/>
    <w:rsid w:val="008C0D68"/>
    <w:rsid w:val="008C12BC"/>
    <w:rsid w:val="008C1B85"/>
    <w:rsid w:val="008C227D"/>
    <w:rsid w:val="008C22AC"/>
    <w:rsid w:val="008C2B83"/>
    <w:rsid w:val="008C364D"/>
    <w:rsid w:val="008C441F"/>
    <w:rsid w:val="008C6E42"/>
    <w:rsid w:val="008C7187"/>
    <w:rsid w:val="008C7A8F"/>
    <w:rsid w:val="008C7C94"/>
    <w:rsid w:val="008D0608"/>
    <w:rsid w:val="008D088E"/>
    <w:rsid w:val="008D1ADF"/>
    <w:rsid w:val="008D1E01"/>
    <w:rsid w:val="008D2382"/>
    <w:rsid w:val="008D25A4"/>
    <w:rsid w:val="008D2D6F"/>
    <w:rsid w:val="008D3210"/>
    <w:rsid w:val="008D3796"/>
    <w:rsid w:val="008D3EC5"/>
    <w:rsid w:val="008D43E0"/>
    <w:rsid w:val="008D4CD6"/>
    <w:rsid w:val="008D586D"/>
    <w:rsid w:val="008D595E"/>
    <w:rsid w:val="008D5C38"/>
    <w:rsid w:val="008D5C4D"/>
    <w:rsid w:val="008D6184"/>
    <w:rsid w:val="008D6D2F"/>
    <w:rsid w:val="008D766D"/>
    <w:rsid w:val="008D76D5"/>
    <w:rsid w:val="008D7CF4"/>
    <w:rsid w:val="008E0989"/>
    <w:rsid w:val="008E0DE5"/>
    <w:rsid w:val="008E12E3"/>
    <w:rsid w:val="008E132E"/>
    <w:rsid w:val="008E1343"/>
    <w:rsid w:val="008E1942"/>
    <w:rsid w:val="008E21F5"/>
    <w:rsid w:val="008E252C"/>
    <w:rsid w:val="008E3150"/>
    <w:rsid w:val="008E3D13"/>
    <w:rsid w:val="008E5E3F"/>
    <w:rsid w:val="008E602C"/>
    <w:rsid w:val="008E6783"/>
    <w:rsid w:val="008E687E"/>
    <w:rsid w:val="008E6C56"/>
    <w:rsid w:val="008E6F59"/>
    <w:rsid w:val="008E733E"/>
    <w:rsid w:val="008E76B0"/>
    <w:rsid w:val="008E76B5"/>
    <w:rsid w:val="008E796A"/>
    <w:rsid w:val="008E7C8B"/>
    <w:rsid w:val="008F06F1"/>
    <w:rsid w:val="008F3431"/>
    <w:rsid w:val="008F34AA"/>
    <w:rsid w:val="008F417B"/>
    <w:rsid w:val="008F44C6"/>
    <w:rsid w:val="008F4EA5"/>
    <w:rsid w:val="008F51BB"/>
    <w:rsid w:val="008F61E7"/>
    <w:rsid w:val="008F626E"/>
    <w:rsid w:val="008F66E9"/>
    <w:rsid w:val="008F7B32"/>
    <w:rsid w:val="008F7D41"/>
    <w:rsid w:val="00900CD5"/>
    <w:rsid w:val="0090187D"/>
    <w:rsid w:val="00902ECE"/>
    <w:rsid w:val="0090386D"/>
    <w:rsid w:val="00903FFC"/>
    <w:rsid w:val="0090610F"/>
    <w:rsid w:val="009067DC"/>
    <w:rsid w:val="00906FA3"/>
    <w:rsid w:val="009073E4"/>
    <w:rsid w:val="00907DBE"/>
    <w:rsid w:val="00907EE9"/>
    <w:rsid w:val="00907EF6"/>
    <w:rsid w:val="00910A62"/>
    <w:rsid w:val="009116EC"/>
    <w:rsid w:val="00912387"/>
    <w:rsid w:val="0091259C"/>
    <w:rsid w:val="00912FE9"/>
    <w:rsid w:val="009134B7"/>
    <w:rsid w:val="00913505"/>
    <w:rsid w:val="00913C89"/>
    <w:rsid w:val="0091598D"/>
    <w:rsid w:val="009159F7"/>
    <w:rsid w:val="009165EF"/>
    <w:rsid w:val="0091662D"/>
    <w:rsid w:val="009204A1"/>
    <w:rsid w:val="009204C9"/>
    <w:rsid w:val="00920C74"/>
    <w:rsid w:val="0092119B"/>
    <w:rsid w:val="0092130F"/>
    <w:rsid w:val="009224EF"/>
    <w:rsid w:val="00922C22"/>
    <w:rsid w:val="00922CF3"/>
    <w:rsid w:val="00922F80"/>
    <w:rsid w:val="00923188"/>
    <w:rsid w:val="009234E6"/>
    <w:rsid w:val="009246F5"/>
    <w:rsid w:val="00924C3E"/>
    <w:rsid w:val="00925C72"/>
    <w:rsid w:val="00925EB7"/>
    <w:rsid w:val="0092633D"/>
    <w:rsid w:val="00926E82"/>
    <w:rsid w:val="00927007"/>
    <w:rsid w:val="0092716D"/>
    <w:rsid w:val="009303BB"/>
    <w:rsid w:val="0093140B"/>
    <w:rsid w:val="009326E9"/>
    <w:rsid w:val="00932D91"/>
    <w:rsid w:val="00932F42"/>
    <w:rsid w:val="009330B7"/>
    <w:rsid w:val="009333BC"/>
    <w:rsid w:val="009342C5"/>
    <w:rsid w:val="009357FD"/>
    <w:rsid w:val="00935DBC"/>
    <w:rsid w:val="009362FA"/>
    <w:rsid w:val="00936901"/>
    <w:rsid w:val="009403A3"/>
    <w:rsid w:val="00940C17"/>
    <w:rsid w:val="0094286E"/>
    <w:rsid w:val="00942C0D"/>
    <w:rsid w:val="00942E1C"/>
    <w:rsid w:val="009432C9"/>
    <w:rsid w:val="009434FD"/>
    <w:rsid w:val="00943B70"/>
    <w:rsid w:val="009442C3"/>
    <w:rsid w:val="00944823"/>
    <w:rsid w:val="00944B7A"/>
    <w:rsid w:val="00944EA7"/>
    <w:rsid w:val="009456BB"/>
    <w:rsid w:val="009458BD"/>
    <w:rsid w:val="00946778"/>
    <w:rsid w:val="00946948"/>
    <w:rsid w:val="0094714F"/>
    <w:rsid w:val="009477EB"/>
    <w:rsid w:val="0095005D"/>
    <w:rsid w:val="0095089D"/>
    <w:rsid w:val="00951309"/>
    <w:rsid w:val="009519A9"/>
    <w:rsid w:val="00951C36"/>
    <w:rsid w:val="009534F2"/>
    <w:rsid w:val="00953631"/>
    <w:rsid w:val="00954E5B"/>
    <w:rsid w:val="00954EC8"/>
    <w:rsid w:val="00954F33"/>
    <w:rsid w:val="009557F3"/>
    <w:rsid w:val="00956165"/>
    <w:rsid w:val="00957C63"/>
    <w:rsid w:val="00960B05"/>
    <w:rsid w:val="00961F20"/>
    <w:rsid w:val="0096238E"/>
    <w:rsid w:val="00962784"/>
    <w:rsid w:val="00962B4E"/>
    <w:rsid w:val="00962BC2"/>
    <w:rsid w:val="00962D13"/>
    <w:rsid w:val="00962E18"/>
    <w:rsid w:val="00963B71"/>
    <w:rsid w:val="00963CB0"/>
    <w:rsid w:val="00963DC1"/>
    <w:rsid w:val="00963DD3"/>
    <w:rsid w:val="009642A3"/>
    <w:rsid w:val="00964F16"/>
    <w:rsid w:val="009664E6"/>
    <w:rsid w:val="009670FF"/>
    <w:rsid w:val="00970313"/>
    <w:rsid w:val="00970BFF"/>
    <w:rsid w:val="00971599"/>
    <w:rsid w:val="00972255"/>
    <w:rsid w:val="0097256D"/>
    <w:rsid w:val="00972764"/>
    <w:rsid w:val="00972F74"/>
    <w:rsid w:val="00973919"/>
    <w:rsid w:val="00974E84"/>
    <w:rsid w:val="009751F2"/>
    <w:rsid w:val="00975435"/>
    <w:rsid w:val="00976E49"/>
    <w:rsid w:val="0097721C"/>
    <w:rsid w:val="00977AB8"/>
    <w:rsid w:val="00977AFC"/>
    <w:rsid w:val="00980691"/>
    <w:rsid w:val="0098125E"/>
    <w:rsid w:val="0098247E"/>
    <w:rsid w:val="00983168"/>
    <w:rsid w:val="00983691"/>
    <w:rsid w:val="009836EB"/>
    <w:rsid w:val="00983957"/>
    <w:rsid w:val="0098486B"/>
    <w:rsid w:val="00985482"/>
    <w:rsid w:val="00985643"/>
    <w:rsid w:val="00985FA7"/>
    <w:rsid w:val="009868C3"/>
    <w:rsid w:val="00986B01"/>
    <w:rsid w:val="00986BC9"/>
    <w:rsid w:val="00987DC3"/>
    <w:rsid w:val="00987DCB"/>
    <w:rsid w:val="009903EA"/>
    <w:rsid w:val="00990762"/>
    <w:rsid w:val="00990A6A"/>
    <w:rsid w:val="0099259E"/>
    <w:rsid w:val="0099279F"/>
    <w:rsid w:val="00992B61"/>
    <w:rsid w:val="009933B5"/>
    <w:rsid w:val="009933C2"/>
    <w:rsid w:val="00995CE9"/>
    <w:rsid w:val="009964B2"/>
    <w:rsid w:val="00996576"/>
    <w:rsid w:val="00996766"/>
    <w:rsid w:val="009967AC"/>
    <w:rsid w:val="00996931"/>
    <w:rsid w:val="009A029D"/>
    <w:rsid w:val="009A212A"/>
    <w:rsid w:val="009A22ED"/>
    <w:rsid w:val="009A386F"/>
    <w:rsid w:val="009A44ED"/>
    <w:rsid w:val="009A4576"/>
    <w:rsid w:val="009A513E"/>
    <w:rsid w:val="009A5C9E"/>
    <w:rsid w:val="009A6451"/>
    <w:rsid w:val="009A68FA"/>
    <w:rsid w:val="009A711A"/>
    <w:rsid w:val="009A7395"/>
    <w:rsid w:val="009B03D1"/>
    <w:rsid w:val="009B06CD"/>
    <w:rsid w:val="009B0751"/>
    <w:rsid w:val="009B0A8C"/>
    <w:rsid w:val="009B13ED"/>
    <w:rsid w:val="009B13EE"/>
    <w:rsid w:val="009B2106"/>
    <w:rsid w:val="009B2379"/>
    <w:rsid w:val="009B3019"/>
    <w:rsid w:val="009B30B6"/>
    <w:rsid w:val="009B31D1"/>
    <w:rsid w:val="009B3BC4"/>
    <w:rsid w:val="009B3DAD"/>
    <w:rsid w:val="009B4682"/>
    <w:rsid w:val="009B470F"/>
    <w:rsid w:val="009B4A28"/>
    <w:rsid w:val="009B4BDC"/>
    <w:rsid w:val="009B5D9B"/>
    <w:rsid w:val="009B5E81"/>
    <w:rsid w:val="009B5E9D"/>
    <w:rsid w:val="009B6573"/>
    <w:rsid w:val="009B76F8"/>
    <w:rsid w:val="009C0793"/>
    <w:rsid w:val="009C0AB5"/>
    <w:rsid w:val="009C13C4"/>
    <w:rsid w:val="009C1A74"/>
    <w:rsid w:val="009C2B77"/>
    <w:rsid w:val="009C3832"/>
    <w:rsid w:val="009C3F84"/>
    <w:rsid w:val="009C6024"/>
    <w:rsid w:val="009C613B"/>
    <w:rsid w:val="009C66E5"/>
    <w:rsid w:val="009C6705"/>
    <w:rsid w:val="009C6DA6"/>
    <w:rsid w:val="009C7CA9"/>
    <w:rsid w:val="009D10E1"/>
    <w:rsid w:val="009D10E2"/>
    <w:rsid w:val="009D2917"/>
    <w:rsid w:val="009D2D3A"/>
    <w:rsid w:val="009D469F"/>
    <w:rsid w:val="009D526A"/>
    <w:rsid w:val="009D5539"/>
    <w:rsid w:val="009D58A7"/>
    <w:rsid w:val="009D5960"/>
    <w:rsid w:val="009D5AA4"/>
    <w:rsid w:val="009D5D00"/>
    <w:rsid w:val="009D6290"/>
    <w:rsid w:val="009D7134"/>
    <w:rsid w:val="009D7849"/>
    <w:rsid w:val="009D7A3E"/>
    <w:rsid w:val="009D7FEA"/>
    <w:rsid w:val="009E03B2"/>
    <w:rsid w:val="009E077C"/>
    <w:rsid w:val="009E0B1C"/>
    <w:rsid w:val="009E0BE7"/>
    <w:rsid w:val="009E0CAE"/>
    <w:rsid w:val="009E0D57"/>
    <w:rsid w:val="009E0F1A"/>
    <w:rsid w:val="009E107E"/>
    <w:rsid w:val="009E137E"/>
    <w:rsid w:val="009E170B"/>
    <w:rsid w:val="009E19D2"/>
    <w:rsid w:val="009E22DC"/>
    <w:rsid w:val="009E2996"/>
    <w:rsid w:val="009E3136"/>
    <w:rsid w:val="009E320A"/>
    <w:rsid w:val="009E35E1"/>
    <w:rsid w:val="009E534F"/>
    <w:rsid w:val="009E5B9E"/>
    <w:rsid w:val="009E5D15"/>
    <w:rsid w:val="009E5D50"/>
    <w:rsid w:val="009E5DFF"/>
    <w:rsid w:val="009E64DD"/>
    <w:rsid w:val="009E7164"/>
    <w:rsid w:val="009E74EF"/>
    <w:rsid w:val="009E78F2"/>
    <w:rsid w:val="009E7B03"/>
    <w:rsid w:val="009F0B51"/>
    <w:rsid w:val="009F1052"/>
    <w:rsid w:val="009F1EC3"/>
    <w:rsid w:val="009F232D"/>
    <w:rsid w:val="009F3004"/>
    <w:rsid w:val="009F33F1"/>
    <w:rsid w:val="009F355F"/>
    <w:rsid w:val="009F3C45"/>
    <w:rsid w:val="009F3DB9"/>
    <w:rsid w:val="009F4414"/>
    <w:rsid w:val="009F4AA3"/>
    <w:rsid w:val="009F54C1"/>
    <w:rsid w:val="009F5DF7"/>
    <w:rsid w:val="009F6972"/>
    <w:rsid w:val="009F7F1D"/>
    <w:rsid w:val="00A006AE"/>
    <w:rsid w:val="00A00CD6"/>
    <w:rsid w:val="00A02082"/>
    <w:rsid w:val="00A02FB9"/>
    <w:rsid w:val="00A033B7"/>
    <w:rsid w:val="00A046E7"/>
    <w:rsid w:val="00A0514B"/>
    <w:rsid w:val="00A0549E"/>
    <w:rsid w:val="00A05E2C"/>
    <w:rsid w:val="00A062FE"/>
    <w:rsid w:val="00A06708"/>
    <w:rsid w:val="00A074CE"/>
    <w:rsid w:val="00A07E7E"/>
    <w:rsid w:val="00A105B2"/>
    <w:rsid w:val="00A108E2"/>
    <w:rsid w:val="00A10FE0"/>
    <w:rsid w:val="00A1160D"/>
    <w:rsid w:val="00A11D78"/>
    <w:rsid w:val="00A12730"/>
    <w:rsid w:val="00A13470"/>
    <w:rsid w:val="00A136BE"/>
    <w:rsid w:val="00A14EA2"/>
    <w:rsid w:val="00A15562"/>
    <w:rsid w:val="00A1565C"/>
    <w:rsid w:val="00A156AB"/>
    <w:rsid w:val="00A1592C"/>
    <w:rsid w:val="00A15BD0"/>
    <w:rsid w:val="00A16202"/>
    <w:rsid w:val="00A16A22"/>
    <w:rsid w:val="00A173DA"/>
    <w:rsid w:val="00A20A35"/>
    <w:rsid w:val="00A2112F"/>
    <w:rsid w:val="00A21DA5"/>
    <w:rsid w:val="00A21F1A"/>
    <w:rsid w:val="00A221F4"/>
    <w:rsid w:val="00A22A35"/>
    <w:rsid w:val="00A23286"/>
    <w:rsid w:val="00A23389"/>
    <w:rsid w:val="00A23914"/>
    <w:rsid w:val="00A245E4"/>
    <w:rsid w:val="00A2468D"/>
    <w:rsid w:val="00A24C5E"/>
    <w:rsid w:val="00A2512E"/>
    <w:rsid w:val="00A2554D"/>
    <w:rsid w:val="00A25F1A"/>
    <w:rsid w:val="00A263E3"/>
    <w:rsid w:val="00A26A7C"/>
    <w:rsid w:val="00A26E59"/>
    <w:rsid w:val="00A26EEF"/>
    <w:rsid w:val="00A27214"/>
    <w:rsid w:val="00A27906"/>
    <w:rsid w:val="00A307A3"/>
    <w:rsid w:val="00A308B1"/>
    <w:rsid w:val="00A30D60"/>
    <w:rsid w:val="00A312B3"/>
    <w:rsid w:val="00A3199C"/>
    <w:rsid w:val="00A3263C"/>
    <w:rsid w:val="00A329D4"/>
    <w:rsid w:val="00A32E9F"/>
    <w:rsid w:val="00A348EB"/>
    <w:rsid w:val="00A34DDC"/>
    <w:rsid w:val="00A35EDD"/>
    <w:rsid w:val="00A36525"/>
    <w:rsid w:val="00A36E88"/>
    <w:rsid w:val="00A37191"/>
    <w:rsid w:val="00A374A6"/>
    <w:rsid w:val="00A40073"/>
    <w:rsid w:val="00A402D0"/>
    <w:rsid w:val="00A408E8"/>
    <w:rsid w:val="00A409FA"/>
    <w:rsid w:val="00A40E95"/>
    <w:rsid w:val="00A4169D"/>
    <w:rsid w:val="00A41764"/>
    <w:rsid w:val="00A426EF"/>
    <w:rsid w:val="00A42852"/>
    <w:rsid w:val="00A42888"/>
    <w:rsid w:val="00A42E94"/>
    <w:rsid w:val="00A43EDA"/>
    <w:rsid w:val="00A44186"/>
    <w:rsid w:val="00A44D4F"/>
    <w:rsid w:val="00A45A0C"/>
    <w:rsid w:val="00A45E6B"/>
    <w:rsid w:val="00A4622A"/>
    <w:rsid w:val="00A46275"/>
    <w:rsid w:val="00A46A89"/>
    <w:rsid w:val="00A4781C"/>
    <w:rsid w:val="00A50752"/>
    <w:rsid w:val="00A52116"/>
    <w:rsid w:val="00A52E6C"/>
    <w:rsid w:val="00A53836"/>
    <w:rsid w:val="00A53A2D"/>
    <w:rsid w:val="00A53D5B"/>
    <w:rsid w:val="00A544DC"/>
    <w:rsid w:val="00A55099"/>
    <w:rsid w:val="00A55122"/>
    <w:rsid w:val="00A55F8B"/>
    <w:rsid w:val="00A55FC2"/>
    <w:rsid w:val="00A56018"/>
    <w:rsid w:val="00A5607A"/>
    <w:rsid w:val="00A5634C"/>
    <w:rsid w:val="00A566CC"/>
    <w:rsid w:val="00A56822"/>
    <w:rsid w:val="00A579B8"/>
    <w:rsid w:val="00A57DCD"/>
    <w:rsid w:val="00A57E55"/>
    <w:rsid w:val="00A60133"/>
    <w:rsid w:val="00A60BB1"/>
    <w:rsid w:val="00A61B37"/>
    <w:rsid w:val="00A62A26"/>
    <w:rsid w:val="00A63366"/>
    <w:rsid w:val="00A63618"/>
    <w:rsid w:val="00A64E5E"/>
    <w:rsid w:val="00A653AA"/>
    <w:rsid w:val="00A656A4"/>
    <w:rsid w:val="00A6588B"/>
    <w:rsid w:val="00A67E06"/>
    <w:rsid w:val="00A70611"/>
    <w:rsid w:val="00A70E8E"/>
    <w:rsid w:val="00A70EFC"/>
    <w:rsid w:val="00A72440"/>
    <w:rsid w:val="00A72E38"/>
    <w:rsid w:val="00A72F54"/>
    <w:rsid w:val="00A73DFF"/>
    <w:rsid w:val="00A7473E"/>
    <w:rsid w:val="00A749DD"/>
    <w:rsid w:val="00A74BC0"/>
    <w:rsid w:val="00A75385"/>
    <w:rsid w:val="00A7539B"/>
    <w:rsid w:val="00A76484"/>
    <w:rsid w:val="00A77216"/>
    <w:rsid w:val="00A8148F"/>
    <w:rsid w:val="00A81B57"/>
    <w:rsid w:val="00A824F2"/>
    <w:rsid w:val="00A82504"/>
    <w:rsid w:val="00A82E86"/>
    <w:rsid w:val="00A83934"/>
    <w:rsid w:val="00A839A8"/>
    <w:rsid w:val="00A83B3C"/>
    <w:rsid w:val="00A83FF1"/>
    <w:rsid w:val="00A8536B"/>
    <w:rsid w:val="00A85EEB"/>
    <w:rsid w:val="00A8608D"/>
    <w:rsid w:val="00A862C1"/>
    <w:rsid w:val="00A864FF"/>
    <w:rsid w:val="00A865AC"/>
    <w:rsid w:val="00A87077"/>
    <w:rsid w:val="00A87159"/>
    <w:rsid w:val="00A873D7"/>
    <w:rsid w:val="00A87614"/>
    <w:rsid w:val="00A87FEF"/>
    <w:rsid w:val="00A9056C"/>
    <w:rsid w:val="00A90E9F"/>
    <w:rsid w:val="00A91061"/>
    <w:rsid w:val="00A9131F"/>
    <w:rsid w:val="00A91D76"/>
    <w:rsid w:val="00A92FA1"/>
    <w:rsid w:val="00A92FAB"/>
    <w:rsid w:val="00A93287"/>
    <w:rsid w:val="00A932C5"/>
    <w:rsid w:val="00A93ADD"/>
    <w:rsid w:val="00A93C74"/>
    <w:rsid w:val="00A94798"/>
    <w:rsid w:val="00A96D5B"/>
    <w:rsid w:val="00A97213"/>
    <w:rsid w:val="00A9797F"/>
    <w:rsid w:val="00AA063E"/>
    <w:rsid w:val="00AA1E50"/>
    <w:rsid w:val="00AA29A4"/>
    <w:rsid w:val="00AA4B16"/>
    <w:rsid w:val="00AA4D98"/>
    <w:rsid w:val="00AA4F27"/>
    <w:rsid w:val="00AA5190"/>
    <w:rsid w:val="00AA77DB"/>
    <w:rsid w:val="00AA7D26"/>
    <w:rsid w:val="00AB0850"/>
    <w:rsid w:val="00AB2831"/>
    <w:rsid w:val="00AB3204"/>
    <w:rsid w:val="00AB3473"/>
    <w:rsid w:val="00AB3867"/>
    <w:rsid w:val="00AB415E"/>
    <w:rsid w:val="00AB4229"/>
    <w:rsid w:val="00AB462D"/>
    <w:rsid w:val="00AB547D"/>
    <w:rsid w:val="00AB5C57"/>
    <w:rsid w:val="00AB6446"/>
    <w:rsid w:val="00AB6527"/>
    <w:rsid w:val="00AB7019"/>
    <w:rsid w:val="00AB78AD"/>
    <w:rsid w:val="00AB797F"/>
    <w:rsid w:val="00AB7C98"/>
    <w:rsid w:val="00AC23DC"/>
    <w:rsid w:val="00AC25AA"/>
    <w:rsid w:val="00AC2811"/>
    <w:rsid w:val="00AC3A45"/>
    <w:rsid w:val="00AC41AD"/>
    <w:rsid w:val="00AC46AA"/>
    <w:rsid w:val="00AC4CEE"/>
    <w:rsid w:val="00AC5372"/>
    <w:rsid w:val="00AC59FD"/>
    <w:rsid w:val="00AC649C"/>
    <w:rsid w:val="00AC679A"/>
    <w:rsid w:val="00AD0196"/>
    <w:rsid w:val="00AD02A5"/>
    <w:rsid w:val="00AD15AE"/>
    <w:rsid w:val="00AD1851"/>
    <w:rsid w:val="00AD2BA4"/>
    <w:rsid w:val="00AD3261"/>
    <w:rsid w:val="00AD38E1"/>
    <w:rsid w:val="00AD49C8"/>
    <w:rsid w:val="00AD4CFB"/>
    <w:rsid w:val="00AD5175"/>
    <w:rsid w:val="00AD5971"/>
    <w:rsid w:val="00AD6242"/>
    <w:rsid w:val="00AD6EBE"/>
    <w:rsid w:val="00AD7AB3"/>
    <w:rsid w:val="00AD7F27"/>
    <w:rsid w:val="00AE0E9C"/>
    <w:rsid w:val="00AE0FCF"/>
    <w:rsid w:val="00AE16E5"/>
    <w:rsid w:val="00AE1C63"/>
    <w:rsid w:val="00AE276C"/>
    <w:rsid w:val="00AE29C0"/>
    <w:rsid w:val="00AE3D66"/>
    <w:rsid w:val="00AE46C2"/>
    <w:rsid w:val="00AE4998"/>
    <w:rsid w:val="00AE61DA"/>
    <w:rsid w:val="00AE6ADC"/>
    <w:rsid w:val="00AE6FBC"/>
    <w:rsid w:val="00AE7891"/>
    <w:rsid w:val="00AF2137"/>
    <w:rsid w:val="00AF2815"/>
    <w:rsid w:val="00AF28ED"/>
    <w:rsid w:val="00AF32D0"/>
    <w:rsid w:val="00AF356D"/>
    <w:rsid w:val="00AF5DB6"/>
    <w:rsid w:val="00AF5FC5"/>
    <w:rsid w:val="00AF613A"/>
    <w:rsid w:val="00AF615D"/>
    <w:rsid w:val="00AF65AA"/>
    <w:rsid w:val="00AF6AEA"/>
    <w:rsid w:val="00AF75B7"/>
    <w:rsid w:val="00AF78E9"/>
    <w:rsid w:val="00AF7EB8"/>
    <w:rsid w:val="00B00BAD"/>
    <w:rsid w:val="00B00CDF"/>
    <w:rsid w:val="00B01DF8"/>
    <w:rsid w:val="00B02610"/>
    <w:rsid w:val="00B03712"/>
    <w:rsid w:val="00B041AC"/>
    <w:rsid w:val="00B04A39"/>
    <w:rsid w:val="00B0529B"/>
    <w:rsid w:val="00B0646F"/>
    <w:rsid w:val="00B0653C"/>
    <w:rsid w:val="00B06DF5"/>
    <w:rsid w:val="00B06E28"/>
    <w:rsid w:val="00B07122"/>
    <w:rsid w:val="00B07290"/>
    <w:rsid w:val="00B108B7"/>
    <w:rsid w:val="00B10CD3"/>
    <w:rsid w:val="00B10D9B"/>
    <w:rsid w:val="00B1160C"/>
    <w:rsid w:val="00B117BE"/>
    <w:rsid w:val="00B117E5"/>
    <w:rsid w:val="00B1185B"/>
    <w:rsid w:val="00B12844"/>
    <w:rsid w:val="00B131F5"/>
    <w:rsid w:val="00B13791"/>
    <w:rsid w:val="00B1388F"/>
    <w:rsid w:val="00B13A6D"/>
    <w:rsid w:val="00B1479B"/>
    <w:rsid w:val="00B15346"/>
    <w:rsid w:val="00B1585B"/>
    <w:rsid w:val="00B16833"/>
    <w:rsid w:val="00B16843"/>
    <w:rsid w:val="00B1720D"/>
    <w:rsid w:val="00B177D7"/>
    <w:rsid w:val="00B20551"/>
    <w:rsid w:val="00B219DF"/>
    <w:rsid w:val="00B22840"/>
    <w:rsid w:val="00B22ABF"/>
    <w:rsid w:val="00B22F9E"/>
    <w:rsid w:val="00B233AB"/>
    <w:rsid w:val="00B23C74"/>
    <w:rsid w:val="00B23FE4"/>
    <w:rsid w:val="00B241E0"/>
    <w:rsid w:val="00B24257"/>
    <w:rsid w:val="00B2468D"/>
    <w:rsid w:val="00B250F1"/>
    <w:rsid w:val="00B25854"/>
    <w:rsid w:val="00B25A07"/>
    <w:rsid w:val="00B26726"/>
    <w:rsid w:val="00B26BA3"/>
    <w:rsid w:val="00B30B5A"/>
    <w:rsid w:val="00B319BC"/>
    <w:rsid w:val="00B32736"/>
    <w:rsid w:val="00B32903"/>
    <w:rsid w:val="00B335B1"/>
    <w:rsid w:val="00B33762"/>
    <w:rsid w:val="00B33B6F"/>
    <w:rsid w:val="00B33F6D"/>
    <w:rsid w:val="00B340D8"/>
    <w:rsid w:val="00B34493"/>
    <w:rsid w:val="00B349DC"/>
    <w:rsid w:val="00B3524E"/>
    <w:rsid w:val="00B35C8A"/>
    <w:rsid w:val="00B360E3"/>
    <w:rsid w:val="00B36F1C"/>
    <w:rsid w:val="00B37076"/>
    <w:rsid w:val="00B379C5"/>
    <w:rsid w:val="00B40ED4"/>
    <w:rsid w:val="00B41A30"/>
    <w:rsid w:val="00B41FA5"/>
    <w:rsid w:val="00B4375F"/>
    <w:rsid w:val="00B439FB"/>
    <w:rsid w:val="00B43CA7"/>
    <w:rsid w:val="00B43CB1"/>
    <w:rsid w:val="00B44CDC"/>
    <w:rsid w:val="00B45203"/>
    <w:rsid w:val="00B45562"/>
    <w:rsid w:val="00B45AA0"/>
    <w:rsid w:val="00B45D18"/>
    <w:rsid w:val="00B45DE7"/>
    <w:rsid w:val="00B46405"/>
    <w:rsid w:val="00B46A44"/>
    <w:rsid w:val="00B47428"/>
    <w:rsid w:val="00B47C41"/>
    <w:rsid w:val="00B503E9"/>
    <w:rsid w:val="00B50817"/>
    <w:rsid w:val="00B52688"/>
    <w:rsid w:val="00B52B4D"/>
    <w:rsid w:val="00B52B87"/>
    <w:rsid w:val="00B52DFA"/>
    <w:rsid w:val="00B52E8E"/>
    <w:rsid w:val="00B534A9"/>
    <w:rsid w:val="00B53E2A"/>
    <w:rsid w:val="00B548A7"/>
    <w:rsid w:val="00B54E36"/>
    <w:rsid w:val="00B55747"/>
    <w:rsid w:val="00B55CE6"/>
    <w:rsid w:val="00B56C7F"/>
    <w:rsid w:val="00B56DC9"/>
    <w:rsid w:val="00B576C7"/>
    <w:rsid w:val="00B57CE0"/>
    <w:rsid w:val="00B60237"/>
    <w:rsid w:val="00B60D93"/>
    <w:rsid w:val="00B612A9"/>
    <w:rsid w:val="00B6188F"/>
    <w:rsid w:val="00B62758"/>
    <w:rsid w:val="00B63A85"/>
    <w:rsid w:val="00B63D6E"/>
    <w:rsid w:val="00B6401C"/>
    <w:rsid w:val="00B644C1"/>
    <w:rsid w:val="00B648EC"/>
    <w:rsid w:val="00B64EA5"/>
    <w:rsid w:val="00B66578"/>
    <w:rsid w:val="00B66869"/>
    <w:rsid w:val="00B66DD5"/>
    <w:rsid w:val="00B66EA2"/>
    <w:rsid w:val="00B67186"/>
    <w:rsid w:val="00B67239"/>
    <w:rsid w:val="00B7138F"/>
    <w:rsid w:val="00B72EF3"/>
    <w:rsid w:val="00B731DD"/>
    <w:rsid w:val="00B736BC"/>
    <w:rsid w:val="00B737C5"/>
    <w:rsid w:val="00B73E0F"/>
    <w:rsid w:val="00B74398"/>
    <w:rsid w:val="00B74598"/>
    <w:rsid w:val="00B753CA"/>
    <w:rsid w:val="00B75C9B"/>
    <w:rsid w:val="00B76408"/>
    <w:rsid w:val="00B764A8"/>
    <w:rsid w:val="00B77814"/>
    <w:rsid w:val="00B779A6"/>
    <w:rsid w:val="00B8057E"/>
    <w:rsid w:val="00B81293"/>
    <w:rsid w:val="00B823F0"/>
    <w:rsid w:val="00B83A05"/>
    <w:rsid w:val="00B83FC5"/>
    <w:rsid w:val="00B846AC"/>
    <w:rsid w:val="00B847C2"/>
    <w:rsid w:val="00B852F9"/>
    <w:rsid w:val="00B8554E"/>
    <w:rsid w:val="00B85D4B"/>
    <w:rsid w:val="00B8701C"/>
    <w:rsid w:val="00B87163"/>
    <w:rsid w:val="00B874AD"/>
    <w:rsid w:val="00B87908"/>
    <w:rsid w:val="00B90061"/>
    <w:rsid w:val="00B90715"/>
    <w:rsid w:val="00B9133A"/>
    <w:rsid w:val="00B91A1A"/>
    <w:rsid w:val="00B9219C"/>
    <w:rsid w:val="00B92628"/>
    <w:rsid w:val="00B926D0"/>
    <w:rsid w:val="00B92CA9"/>
    <w:rsid w:val="00B93EAB"/>
    <w:rsid w:val="00B940A7"/>
    <w:rsid w:val="00B9416A"/>
    <w:rsid w:val="00B94AA5"/>
    <w:rsid w:val="00B94E29"/>
    <w:rsid w:val="00B94E61"/>
    <w:rsid w:val="00B951D6"/>
    <w:rsid w:val="00B95A57"/>
    <w:rsid w:val="00B970E6"/>
    <w:rsid w:val="00B974E4"/>
    <w:rsid w:val="00BA06BD"/>
    <w:rsid w:val="00BA12EB"/>
    <w:rsid w:val="00BA1CBA"/>
    <w:rsid w:val="00BA20B6"/>
    <w:rsid w:val="00BA2128"/>
    <w:rsid w:val="00BA266C"/>
    <w:rsid w:val="00BA295A"/>
    <w:rsid w:val="00BA3427"/>
    <w:rsid w:val="00BA44A4"/>
    <w:rsid w:val="00BA4959"/>
    <w:rsid w:val="00BA4A25"/>
    <w:rsid w:val="00BA5041"/>
    <w:rsid w:val="00BA50F5"/>
    <w:rsid w:val="00BA5AD5"/>
    <w:rsid w:val="00BA64B2"/>
    <w:rsid w:val="00BA6D5B"/>
    <w:rsid w:val="00BA6EBA"/>
    <w:rsid w:val="00BA7524"/>
    <w:rsid w:val="00BB0A8E"/>
    <w:rsid w:val="00BB0E5C"/>
    <w:rsid w:val="00BB13C8"/>
    <w:rsid w:val="00BB3839"/>
    <w:rsid w:val="00BB4684"/>
    <w:rsid w:val="00BB46F7"/>
    <w:rsid w:val="00BB4B7C"/>
    <w:rsid w:val="00BB5471"/>
    <w:rsid w:val="00BB5652"/>
    <w:rsid w:val="00BB5F4A"/>
    <w:rsid w:val="00BB6B65"/>
    <w:rsid w:val="00BB70C6"/>
    <w:rsid w:val="00BB758B"/>
    <w:rsid w:val="00BB75E5"/>
    <w:rsid w:val="00BB7A56"/>
    <w:rsid w:val="00BB7BB4"/>
    <w:rsid w:val="00BB7C2B"/>
    <w:rsid w:val="00BC1EFB"/>
    <w:rsid w:val="00BC31E6"/>
    <w:rsid w:val="00BC338A"/>
    <w:rsid w:val="00BC4664"/>
    <w:rsid w:val="00BC4F68"/>
    <w:rsid w:val="00BC5650"/>
    <w:rsid w:val="00BC5CB2"/>
    <w:rsid w:val="00BC60D7"/>
    <w:rsid w:val="00BC6750"/>
    <w:rsid w:val="00BC7A9C"/>
    <w:rsid w:val="00BC7C76"/>
    <w:rsid w:val="00BD008D"/>
    <w:rsid w:val="00BD06BF"/>
    <w:rsid w:val="00BD08A6"/>
    <w:rsid w:val="00BD0E6A"/>
    <w:rsid w:val="00BD1838"/>
    <w:rsid w:val="00BD2095"/>
    <w:rsid w:val="00BD23B0"/>
    <w:rsid w:val="00BD23BE"/>
    <w:rsid w:val="00BD2654"/>
    <w:rsid w:val="00BD27DE"/>
    <w:rsid w:val="00BD29BC"/>
    <w:rsid w:val="00BD364F"/>
    <w:rsid w:val="00BD3A40"/>
    <w:rsid w:val="00BD4376"/>
    <w:rsid w:val="00BD4DF2"/>
    <w:rsid w:val="00BD5173"/>
    <w:rsid w:val="00BD6213"/>
    <w:rsid w:val="00BD65C4"/>
    <w:rsid w:val="00BD7864"/>
    <w:rsid w:val="00BD79EB"/>
    <w:rsid w:val="00BD7A0B"/>
    <w:rsid w:val="00BE0130"/>
    <w:rsid w:val="00BE03FF"/>
    <w:rsid w:val="00BE0B71"/>
    <w:rsid w:val="00BE10D8"/>
    <w:rsid w:val="00BE2725"/>
    <w:rsid w:val="00BE33A8"/>
    <w:rsid w:val="00BE3A27"/>
    <w:rsid w:val="00BE4366"/>
    <w:rsid w:val="00BE4707"/>
    <w:rsid w:val="00BE4E66"/>
    <w:rsid w:val="00BE55A9"/>
    <w:rsid w:val="00BE641C"/>
    <w:rsid w:val="00BE6BDB"/>
    <w:rsid w:val="00BE6F13"/>
    <w:rsid w:val="00BF0E17"/>
    <w:rsid w:val="00BF12D0"/>
    <w:rsid w:val="00BF28BD"/>
    <w:rsid w:val="00BF292A"/>
    <w:rsid w:val="00BF2B3A"/>
    <w:rsid w:val="00BF2DD9"/>
    <w:rsid w:val="00BF351D"/>
    <w:rsid w:val="00BF4672"/>
    <w:rsid w:val="00BF49E5"/>
    <w:rsid w:val="00BF4F56"/>
    <w:rsid w:val="00BF5056"/>
    <w:rsid w:val="00BF6EC6"/>
    <w:rsid w:val="00BF6EDD"/>
    <w:rsid w:val="00BF7E23"/>
    <w:rsid w:val="00C005E7"/>
    <w:rsid w:val="00C0112F"/>
    <w:rsid w:val="00C02339"/>
    <w:rsid w:val="00C02A1F"/>
    <w:rsid w:val="00C042A6"/>
    <w:rsid w:val="00C04AFD"/>
    <w:rsid w:val="00C04CE3"/>
    <w:rsid w:val="00C05309"/>
    <w:rsid w:val="00C05670"/>
    <w:rsid w:val="00C05824"/>
    <w:rsid w:val="00C07B81"/>
    <w:rsid w:val="00C10F8C"/>
    <w:rsid w:val="00C112A2"/>
    <w:rsid w:val="00C11455"/>
    <w:rsid w:val="00C1148C"/>
    <w:rsid w:val="00C11E47"/>
    <w:rsid w:val="00C1225F"/>
    <w:rsid w:val="00C12556"/>
    <w:rsid w:val="00C13331"/>
    <w:rsid w:val="00C13453"/>
    <w:rsid w:val="00C13F71"/>
    <w:rsid w:val="00C14C53"/>
    <w:rsid w:val="00C1516B"/>
    <w:rsid w:val="00C154D9"/>
    <w:rsid w:val="00C15FCB"/>
    <w:rsid w:val="00C16081"/>
    <w:rsid w:val="00C16464"/>
    <w:rsid w:val="00C164FA"/>
    <w:rsid w:val="00C17CF7"/>
    <w:rsid w:val="00C202D2"/>
    <w:rsid w:val="00C20B0E"/>
    <w:rsid w:val="00C20CFD"/>
    <w:rsid w:val="00C20EF9"/>
    <w:rsid w:val="00C21441"/>
    <w:rsid w:val="00C214D4"/>
    <w:rsid w:val="00C217BF"/>
    <w:rsid w:val="00C224C3"/>
    <w:rsid w:val="00C22968"/>
    <w:rsid w:val="00C22F43"/>
    <w:rsid w:val="00C23CB3"/>
    <w:rsid w:val="00C2441E"/>
    <w:rsid w:val="00C24DB4"/>
    <w:rsid w:val="00C24E0A"/>
    <w:rsid w:val="00C251F6"/>
    <w:rsid w:val="00C25464"/>
    <w:rsid w:val="00C25EAA"/>
    <w:rsid w:val="00C25F2F"/>
    <w:rsid w:val="00C2654A"/>
    <w:rsid w:val="00C26600"/>
    <w:rsid w:val="00C266F3"/>
    <w:rsid w:val="00C279D3"/>
    <w:rsid w:val="00C30F78"/>
    <w:rsid w:val="00C31905"/>
    <w:rsid w:val="00C31BCD"/>
    <w:rsid w:val="00C31CD6"/>
    <w:rsid w:val="00C323DE"/>
    <w:rsid w:val="00C32A9C"/>
    <w:rsid w:val="00C32FD4"/>
    <w:rsid w:val="00C34E54"/>
    <w:rsid w:val="00C35339"/>
    <w:rsid w:val="00C35A5F"/>
    <w:rsid w:val="00C35A74"/>
    <w:rsid w:val="00C36459"/>
    <w:rsid w:val="00C36A75"/>
    <w:rsid w:val="00C37342"/>
    <w:rsid w:val="00C375DA"/>
    <w:rsid w:val="00C375F2"/>
    <w:rsid w:val="00C37FF2"/>
    <w:rsid w:val="00C40B01"/>
    <w:rsid w:val="00C40F63"/>
    <w:rsid w:val="00C41096"/>
    <w:rsid w:val="00C4135B"/>
    <w:rsid w:val="00C41876"/>
    <w:rsid w:val="00C423F3"/>
    <w:rsid w:val="00C427B8"/>
    <w:rsid w:val="00C42CA9"/>
    <w:rsid w:val="00C433E6"/>
    <w:rsid w:val="00C454CF"/>
    <w:rsid w:val="00C45580"/>
    <w:rsid w:val="00C45C08"/>
    <w:rsid w:val="00C462FA"/>
    <w:rsid w:val="00C4637E"/>
    <w:rsid w:val="00C464A3"/>
    <w:rsid w:val="00C4659F"/>
    <w:rsid w:val="00C46C9C"/>
    <w:rsid w:val="00C472CA"/>
    <w:rsid w:val="00C4768A"/>
    <w:rsid w:val="00C477F0"/>
    <w:rsid w:val="00C5031B"/>
    <w:rsid w:val="00C51290"/>
    <w:rsid w:val="00C51364"/>
    <w:rsid w:val="00C514F4"/>
    <w:rsid w:val="00C5204D"/>
    <w:rsid w:val="00C52A15"/>
    <w:rsid w:val="00C52DE3"/>
    <w:rsid w:val="00C52F58"/>
    <w:rsid w:val="00C543AF"/>
    <w:rsid w:val="00C55A40"/>
    <w:rsid w:val="00C5605D"/>
    <w:rsid w:val="00C56403"/>
    <w:rsid w:val="00C56657"/>
    <w:rsid w:val="00C56B60"/>
    <w:rsid w:val="00C572AC"/>
    <w:rsid w:val="00C57958"/>
    <w:rsid w:val="00C57AAA"/>
    <w:rsid w:val="00C6118B"/>
    <w:rsid w:val="00C611EB"/>
    <w:rsid w:val="00C62DB5"/>
    <w:rsid w:val="00C63352"/>
    <w:rsid w:val="00C63366"/>
    <w:rsid w:val="00C63673"/>
    <w:rsid w:val="00C63C8A"/>
    <w:rsid w:val="00C63E74"/>
    <w:rsid w:val="00C641FF"/>
    <w:rsid w:val="00C642F2"/>
    <w:rsid w:val="00C64B2F"/>
    <w:rsid w:val="00C654D6"/>
    <w:rsid w:val="00C671F9"/>
    <w:rsid w:val="00C6761B"/>
    <w:rsid w:val="00C706DA"/>
    <w:rsid w:val="00C71CA7"/>
    <w:rsid w:val="00C72706"/>
    <w:rsid w:val="00C72860"/>
    <w:rsid w:val="00C736B6"/>
    <w:rsid w:val="00C73AC8"/>
    <w:rsid w:val="00C73E88"/>
    <w:rsid w:val="00C750F0"/>
    <w:rsid w:val="00C7570E"/>
    <w:rsid w:val="00C7590C"/>
    <w:rsid w:val="00C75B64"/>
    <w:rsid w:val="00C7601D"/>
    <w:rsid w:val="00C762D8"/>
    <w:rsid w:val="00C76377"/>
    <w:rsid w:val="00C76950"/>
    <w:rsid w:val="00C769F0"/>
    <w:rsid w:val="00C77524"/>
    <w:rsid w:val="00C807D9"/>
    <w:rsid w:val="00C80FD2"/>
    <w:rsid w:val="00C8108D"/>
    <w:rsid w:val="00C8133A"/>
    <w:rsid w:val="00C8154B"/>
    <w:rsid w:val="00C815EF"/>
    <w:rsid w:val="00C82FE0"/>
    <w:rsid w:val="00C83CF5"/>
    <w:rsid w:val="00C83D35"/>
    <w:rsid w:val="00C84CD1"/>
    <w:rsid w:val="00C84E0F"/>
    <w:rsid w:val="00C85267"/>
    <w:rsid w:val="00C85AE8"/>
    <w:rsid w:val="00C8646C"/>
    <w:rsid w:val="00C864D6"/>
    <w:rsid w:val="00C865AE"/>
    <w:rsid w:val="00C86667"/>
    <w:rsid w:val="00C86AF6"/>
    <w:rsid w:val="00C870B6"/>
    <w:rsid w:val="00C8721D"/>
    <w:rsid w:val="00C87FA9"/>
    <w:rsid w:val="00C90094"/>
    <w:rsid w:val="00C90BEC"/>
    <w:rsid w:val="00C91497"/>
    <w:rsid w:val="00C91A06"/>
    <w:rsid w:val="00C9256F"/>
    <w:rsid w:val="00C9265C"/>
    <w:rsid w:val="00C926E3"/>
    <w:rsid w:val="00C92E51"/>
    <w:rsid w:val="00C930A8"/>
    <w:rsid w:val="00C93193"/>
    <w:rsid w:val="00C939D5"/>
    <w:rsid w:val="00C95C76"/>
    <w:rsid w:val="00C96AF4"/>
    <w:rsid w:val="00C97F24"/>
    <w:rsid w:val="00CA01E4"/>
    <w:rsid w:val="00CA0925"/>
    <w:rsid w:val="00CA0FCF"/>
    <w:rsid w:val="00CA1522"/>
    <w:rsid w:val="00CA1682"/>
    <w:rsid w:val="00CA2B67"/>
    <w:rsid w:val="00CA3F5B"/>
    <w:rsid w:val="00CA42BF"/>
    <w:rsid w:val="00CA50DE"/>
    <w:rsid w:val="00CA65A3"/>
    <w:rsid w:val="00CA7EA7"/>
    <w:rsid w:val="00CB0133"/>
    <w:rsid w:val="00CB036D"/>
    <w:rsid w:val="00CB1B91"/>
    <w:rsid w:val="00CB1BD0"/>
    <w:rsid w:val="00CB20C0"/>
    <w:rsid w:val="00CB2498"/>
    <w:rsid w:val="00CB2F8D"/>
    <w:rsid w:val="00CB3656"/>
    <w:rsid w:val="00CB390D"/>
    <w:rsid w:val="00CB3969"/>
    <w:rsid w:val="00CB4248"/>
    <w:rsid w:val="00CB488F"/>
    <w:rsid w:val="00CB4B4D"/>
    <w:rsid w:val="00CB5319"/>
    <w:rsid w:val="00CB5610"/>
    <w:rsid w:val="00CB58A6"/>
    <w:rsid w:val="00CB6EFB"/>
    <w:rsid w:val="00CB719F"/>
    <w:rsid w:val="00CB7EF7"/>
    <w:rsid w:val="00CC0B3F"/>
    <w:rsid w:val="00CC0E05"/>
    <w:rsid w:val="00CC130F"/>
    <w:rsid w:val="00CC1909"/>
    <w:rsid w:val="00CC1E92"/>
    <w:rsid w:val="00CC2445"/>
    <w:rsid w:val="00CC35EC"/>
    <w:rsid w:val="00CC40BB"/>
    <w:rsid w:val="00CC59BE"/>
    <w:rsid w:val="00CC6788"/>
    <w:rsid w:val="00CC7A79"/>
    <w:rsid w:val="00CC7C4A"/>
    <w:rsid w:val="00CC7CDC"/>
    <w:rsid w:val="00CD0119"/>
    <w:rsid w:val="00CD0EA2"/>
    <w:rsid w:val="00CD21B8"/>
    <w:rsid w:val="00CD2574"/>
    <w:rsid w:val="00CD2CCF"/>
    <w:rsid w:val="00CD311C"/>
    <w:rsid w:val="00CD34D0"/>
    <w:rsid w:val="00CD39F3"/>
    <w:rsid w:val="00CD4AB4"/>
    <w:rsid w:val="00CD5C22"/>
    <w:rsid w:val="00CD66BF"/>
    <w:rsid w:val="00CD68A0"/>
    <w:rsid w:val="00CD6CE6"/>
    <w:rsid w:val="00CD6D50"/>
    <w:rsid w:val="00CD6E92"/>
    <w:rsid w:val="00CD6F8C"/>
    <w:rsid w:val="00CD6FEE"/>
    <w:rsid w:val="00CD720E"/>
    <w:rsid w:val="00CD78AF"/>
    <w:rsid w:val="00CD7D1A"/>
    <w:rsid w:val="00CE0298"/>
    <w:rsid w:val="00CE0525"/>
    <w:rsid w:val="00CE05FB"/>
    <w:rsid w:val="00CE0786"/>
    <w:rsid w:val="00CE0C1C"/>
    <w:rsid w:val="00CE0D31"/>
    <w:rsid w:val="00CE0EF8"/>
    <w:rsid w:val="00CE2D73"/>
    <w:rsid w:val="00CE300E"/>
    <w:rsid w:val="00CE4907"/>
    <w:rsid w:val="00CE5307"/>
    <w:rsid w:val="00CE55AD"/>
    <w:rsid w:val="00CE66ED"/>
    <w:rsid w:val="00CE75DD"/>
    <w:rsid w:val="00CE7CC5"/>
    <w:rsid w:val="00CF0DFA"/>
    <w:rsid w:val="00CF1AFE"/>
    <w:rsid w:val="00CF267C"/>
    <w:rsid w:val="00CF2E9D"/>
    <w:rsid w:val="00CF3D7B"/>
    <w:rsid w:val="00CF3DA5"/>
    <w:rsid w:val="00CF415B"/>
    <w:rsid w:val="00CF4B73"/>
    <w:rsid w:val="00CF4D84"/>
    <w:rsid w:val="00CF4E56"/>
    <w:rsid w:val="00CF6018"/>
    <w:rsid w:val="00CF6487"/>
    <w:rsid w:val="00CF659C"/>
    <w:rsid w:val="00CF6753"/>
    <w:rsid w:val="00CF7378"/>
    <w:rsid w:val="00CF7711"/>
    <w:rsid w:val="00CF79B8"/>
    <w:rsid w:val="00D00627"/>
    <w:rsid w:val="00D00F18"/>
    <w:rsid w:val="00D014B4"/>
    <w:rsid w:val="00D01B07"/>
    <w:rsid w:val="00D02661"/>
    <w:rsid w:val="00D0309F"/>
    <w:rsid w:val="00D039FD"/>
    <w:rsid w:val="00D03CE3"/>
    <w:rsid w:val="00D041FA"/>
    <w:rsid w:val="00D04E33"/>
    <w:rsid w:val="00D053AC"/>
    <w:rsid w:val="00D0555D"/>
    <w:rsid w:val="00D05F8B"/>
    <w:rsid w:val="00D06136"/>
    <w:rsid w:val="00D06602"/>
    <w:rsid w:val="00D06B14"/>
    <w:rsid w:val="00D06B23"/>
    <w:rsid w:val="00D06C37"/>
    <w:rsid w:val="00D06CEF"/>
    <w:rsid w:val="00D06EC5"/>
    <w:rsid w:val="00D07A15"/>
    <w:rsid w:val="00D07C75"/>
    <w:rsid w:val="00D07F41"/>
    <w:rsid w:val="00D10428"/>
    <w:rsid w:val="00D107C7"/>
    <w:rsid w:val="00D10A21"/>
    <w:rsid w:val="00D11146"/>
    <w:rsid w:val="00D125EC"/>
    <w:rsid w:val="00D12751"/>
    <w:rsid w:val="00D13B25"/>
    <w:rsid w:val="00D13C4F"/>
    <w:rsid w:val="00D13CE9"/>
    <w:rsid w:val="00D15A9C"/>
    <w:rsid w:val="00D16153"/>
    <w:rsid w:val="00D16420"/>
    <w:rsid w:val="00D16B36"/>
    <w:rsid w:val="00D17907"/>
    <w:rsid w:val="00D17BE8"/>
    <w:rsid w:val="00D201A1"/>
    <w:rsid w:val="00D206DF"/>
    <w:rsid w:val="00D20ECC"/>
    <w:rsid w:val="00D2237F"/>
    <w:rsid w:val="00D22676"/>
    <w:rsid w:val="00D22774"/>
    <w:rsid w:val="00D23049"/>
    <w:rsid w:val="00D2337E"/>
    <w:rsid w:val="00D24079"/>
    <w:rsid w:val="00D2422E"/>
    <w:rsid w:val="00D242BE"/>
    <w:rsid w:val="00D24648"/>
    <w:rsid w:val="00D248E5"/>
    <w:rsid w:val="00D24FFA"/>
    <w:rsid w:val="00D2614B"/>
    <w:rsid w:val="00D2689D"/>
    <w:rsid w:val="00D26EA9"/>
    <w:rsid w:val="00D270EA"/>
    <w:rsid w:val="00D278E9"/>
    <w:rsid w:val="00D3009C"/>
    <w:rsid w:val="00D301B1"/>
    <w:rsid w:val="00D3105F"/>
    <w:rsid w:val="00D31383"/>
    <w:rsid w:val="00D31A86"/>
    <w:rsid w:val="00D33B5B"/>
    <w:rsid w:val="00D34593"/>
    <w:rsid w:val="00D34797"/>
    <w:rsid w:val="00D347DC"/>
    <w:rsid w:val="00D34D85"/>
    <w:rsid w:val="00D3580B"/>
    <w:rsid w:val="00D35F6F"/>
    <w:rsid w:val="00D361BE"/>
    <w:rsid w:val="00D3679A"/>
    <w:rsid w:val="00D402D2"/>
    <w:rsid w:val="00D40383"/>
    <w:rsid w:val="00D40925"/>
    <w:rsid w:val="00D41B66"/>
    <w:rsid w:val="00D42940"/>
    <w:rsid w:val="00D436B7"/>
    <w:rsid w:val="00D44F22"/>
    <w:rsid w:val="00D4575B"/>
    <w:rsid w:val="00D457CF"/>
    <w:rsid w:val="00D46B8A"/>
    <w:rsid w:val="00D473EB"/>
    <w:rsid w:val="00D47428"/>
    <w:rsid w:val="00D47923"/>
    <w:rsid w:val="00D47C6E"/>
    <w:rsid w:val="00D47DF1"/>
    <w:rsid w:val="00D47F47"/>
    <w:rsid w:val="00D5031C"/>
    <w:rsid w:val="00D50C00"/>
    <w:rsid w:val="00D50EB5"/>
    <w:rsid w:val="00D51BD1"/>
    <w:rsid w:val="00D52830"/>
    <w:rsid w:val="00D53AFC"/>
    <w:rsid w:val="00D53AFD"/>
    <w:rsid w:val="00D545F6"/>
    <w:rsid w:val="00D57047"/>
    <w:rsid w:val="00D608DA"/>
    <w:rsid w:val="00D60BA0"/>
    <w:rsid w:val="00D60FE9"/>
    <w:rsid w:val="00D61137"/>
    <w:rsid w:val="00D6273D"/>
    <w:rsid w:val="00D62B73"/>
    <w:rsid w:val="00D62D50"/>
    <w:rsid w:val="00D633C5"/>
    <w:rsid w:val="00D63607"/>
    <w:rsid w:val="00D63BC1"/>
    <w:rsid w:val="00D6477F"/>
    <w:rsid w:val="00D64EE1"/>
    <w:rsid w:val="00D657AA"/>
    <w:rsid w:val="00D65A25"/>
    <w:rsid w:val="00D65CA7"/>
    <w:rsid w:val="00D65D34"/>
    <w:rsid w:val="00D6730D"/>
    <w:rsid w:val="00D679A6"/>
    <w:rsid w:val="00D7017F"/>
    <w:rsid w:val="00D70F63"/>
    <w:rsid w:val="00D72B36"/>
    <w:rsid w:val="00D72C04"/>
    <w:rsid w:val="00D72FB1"/>
    <w:rsid w:val="00D733A5"/>
    <w:rsid w:val="00D74276"/>
    <w:rsid w:val="00D744BA"/>
    <w:rsid w:val="00D746BE"/>
    <w:rsid w:val="00D74A94"/>
    <w:rsid w:val="00D760AE"/>
    <w:rsid w:val="00D7665A"/>
    <w:rsid w:val="00D766FB"/>
    <w:rsid w:val="00D77051"/>
    <w:rsid w:val="00D773D3"/>
    <w:rsid w:val="00D77496"/>
    <w:rsid w:val="00D7793D"/>
    <w:rsid w:val="00D77B80"/>
    <w:rsid w:val="00D77CF1"/>
    <w:rsid w:val="00D77E3C"/>
    <w:rsid w:val="00D80925"/>
    <w:rsid w:val="00D816AC"/>
    <w:rsid w:val="00D81A98"/>
    <w:rsid w:val="00D81C50"/>
    <w:rsid w:val="00D82A58"/>
    <w:rsid w:val="00D832D4"/>
    <w:rsid w:val="00D83EDA"/>
    <w:rsid w:val="00D84398"/>
    <w:rsid w:val="00D84781"/>
    <w:rsid w:val="00D86E63"/>
    <w:rsid w:val="00D86F5C"/>
    <w:rsid w:val="00D9124D"/>
    <w:rsid w:val="00D918AD"/>
    <w:rsid w:val="00D93B89"/>
    <w:rsid w:val="00D9643C"/>
    <w:rsid w:val="00D9674C"/>
    <w:rsid w:val="00D970EF"/>
    <w:rsid w:val="00D97967"/>
    <w:rsid w:val="00D97C13"/>
    <w:rsid w:val="00DA03C9"/>
    <w:rsid w:val="00DA03E6"/>
    <w:rsid w:val="00DA06F5"/>
    <w:rsid w:val="00DA2B2A"/>
    <w:rsid w:val="00DA2C42"/>
    <w:rsid w:val="00DA305A"/>
    <w:rsid w:val="00DA3389"/>
    <w:rsid w:val="00DA40B1"/>
    <w:rsid w:val="00DA4191"/>
    <w:rsid w:val="00DA4ED8"/>
    <w:rsid w:val="00DA4F8E"/>
    <w:rsid w:val="00DA5AEE"/>
    <w:rsid w:val="00DA5B88"/>
    <w:rsid w:val="00DA66A7"/>
    <w:rsid w:val="00DA723F"/>
    <w:rsid w:val="00DA7636"/>
    <w:rsid w:val="00DA79FD"/>
    <w:rsid w:val="00DB1859"/>
    <w:rsid w:val="00DB2B09"/>
    <w:rsid w:val="00DB2BA3"/>
    <w:rsid w:val="00DB300D"/>
    <w:rsid w:val="00DB53F0"/>
    <w:rsid w:val="00DB5830"/>
    <w:rsid w:val="00DB59B3"/>
    <w:rsid w:val="00DB66D2"/>
    <w:rsid w:val="00DB6A80"/>
    <w:rsid w:val="00DB7A8B"/>
    <w:rsid w:val="00DC0469"/>
    <w:rsid w:val="00DC0F5A"/>
    <w:rsid w:val="00DC10EC"/>
    <w:rsid w:val="00DC18BF"/>
    <w:rsid w:val="00DC2261"/>
    <w:rsid w:val="00DC3550"/>
    <w:rsid w:val="00DC3E8B"/>
    <w:rsid w:val="00DC45F1"/>
    <w:rsid w:val="00DC4669"/>
    <w:rsid w:val="00DC4A6E"/>
    <w:rsid w:val="00DC4D38"/>
    <w:rsid w:val="00DC4DDD"/>
    <w:rsid w:val="00DC55F5"/>
    <w:rsid w:val="00DC5612"/>
    <w:rsid w:val="00DC5E0D"/>
    <w:rsid w:val="00DC5E6E"/>
    <w:rsid w:val="00DC76F8"/>
    <w:rsid w:val="00DD094D"/>
    <w:rsid w:val="00DD1538"/>
    <w:rsid w:val="00DD2BBB"/>
    <w:rsid w:val="00DD2BC9"/>
    <w:rsid w:val="00DD39CA"/>
    <w:rsid w:val="00DD40D5"/>
    <w:rsid w:val="00DD4AAE"/>
    <w:rsid w:val="00DD4FBE"/>
    <w:rsid w:val="00DD4FC0"/>
    <w:rsid w:val="00DD511C"/>
    <w:rsid w:val="00DD5BE6"/>
    <w:rsid w:val="00DD6F92"/>
    <w:rsid w:val="00DD74F2"/>
    <w:rsid w:val="00DD7C0E"/>
    <w:rsid w:val="00DD7D11"/>
    <w:rsid w:val="00DE178B"/>
    <w:rsid w:val="00DE1C4C"/>
    <w:rsid w:val="00DE3BED"/>
    <w:rsid w:val="00DE505A"/>
    <w:rsid w:val="00DE5147"/>
    <w:rsid w:val="00DE5B97"/>
    <w:rsid w:val="00DE5C90"/>
    <w:rsid w:val="00DE614B"/>
    <w:rsid w:val="00DE6353"/>
    <w:rsid w:val="00DE6574"/>
    <w:rsid w:val="00DE7143"/>
    <w:rsid w:val="00DE7BA0"/>
    <w:rsid w:val="00DF0389"/>
    <w:rsid w:val="00DF122B"/>
    <w:rsid w:val="00DF1AFF"/>
    <w:rsid w:val="00DF1B4E"/>
    <w:rsid w:val="00DF29C4"/>
    <w:rsid w:val="00DF3A20"/>
    <w:rsid w:val="00DF4180"/>
    <w:rsid w:val="00DF4221"/>
    <w:rsid w:val="00DF54E9"/>
    <w:rsid w:val="00DF66C2"/>
    <w:rsid w:val="00DF6F91"/>
    <w:rsid w:val="00DF7956"/>
    <w:rsid w:val="00E00905"/>
    <w:rsid w:val="00E013F0"/>
    <w:rsid w:val="00E017C4"/>
    <w:rsid w:val="00E01D54"/>
    <w:rsid w:val="00E02059"/>
    <w:rsid w:val="00E02E1E"/>
    <w:rsid w:val="00E0314B"/>
    <w:rsid w:val="00E0315E"/>
    <w:rsid w:val="00E04731"/>
    <w:rsid w:val="00E0485A"/>
    <w:rsid w:val="00E056FB"/>
    <w:rsid w:val="00E05707"/>
    <w:rsid w:val="00E05A11"/>
    <w:rsid w:val="00E069BE"/>
    <w:rsid w:val="00E07507"/>
    <w:rsid w:val="00E079E2"/>
    <w:rsid w:val="00E1097B"/>
    <w:rsid w:val="00E10F62"/>
    <w:rsid w:val="00E1130D"/>
    <w:rsid w:val="00E11843"/>
    <w:rsid w:val="00E11BDA"/>
    <w:rsid w:val="00E127D4"/>
    <w:rsid w:val="00E12E00"/>
    <w:rsid w:val="00E1307D"/>
    <w:rsid w:val="00E1369D"/>
    <w:rsid w:val="00E1386C"/>
    <w:rsid w:val="00E138CC"/>
    <w:rsid w:val="00E13C19"/>
    <w:rsid w:val="00E13E80"/>
    <w:rsid w:val="00E14043"/>
    <w:rsid w:val="00E1431C"/>
    <w:rsid w:val="00E14A04"/>
    <w:rsid w:val="00E14C5E"/>
    <w:rsid w:val="00E150E0"/>
    <w:rsid w:val="00E15F79"/>
    <w:rsid w:val="00E15FF0"/>
    <w:rsid w:val="00E1607D"/>
    <w:rsid w:val="00E17625"/>
    <w:rsid w:val="00E177FC"/>
    <w:rsid w:val="00E17B84"/>
    <w:rsid w:val="00E20DA8"/>
    <w:rsid w:val="00E211B6"/>
    <w:rsid w:val="00E214A1"/>
    <w:rsid w:val="00E215BB"/>
    <w:rsid w:val="00E21686"/>
    <w:rsid w:val="00E227B8"/>
    <w:rsid w:val="00E22FEB"/>
    <w:rsid w:val="00E236A4"/>
    <w:rsid w:val="00E23E50"/>
    <w:rsid w:val="00E2454D"/>
    <w:rsid w:val="00E249B9"/>
    <w:rsid w:val="00E24F78"/>
    <w:rsid w:val="00E25965"/>
    <w:rsid w:val="00E26520"/>
    <w:rsid w:val="00E2671F"/>
    <w:rsid w:val="00E26BEB"/>
    <w:rsid w:val="00E26E84"/>
    <w:rsid w:val="00E276D3"/>
    <w:rsid w:val="00E2779A"/>
    <w:rsid w:val="00E27BAF"/>
    <w:rsid w:val="00E305C4"/>
    <w:rsid w:val="00E30B96"/>
    <w:rsid w:val="00E3106B"/>
    <w:rsid w:val="00E31328"/>
    <w:rsid w:val="00E316EF"/>
    <w:rsid w:val="00E31701"/>
    <w:rsid w:val="00E3217D"/>
    <w:rsid w:val="00E32626"/>
    <w:rsid w:val="00E3278E"/>
    <w:rsid w:val="00E32DD6"/>
    <w:rsid w:val="00E332B0"/>
    <w:rsid w:val="00E333D4"/>
    <w:rsid w:val="00E33591"/>
    <w:rsid w:val="00E3385E"/>
    <w:rsid w:val="00E34B46"/>
    <w:rsid w:val="00E34D61"/>
    <w:rsid w:val="00E34E8F"/>
    <w:rsid w:val="00E34F69"/>
    <w:rsid w:val="00E37352"/>
    <w:rsid w:val="00E37A55"/>
    <w:rsid w:val="00E40682"/>
    <w:rsid w:val="00E4099C"/>
    <w:rsid w:val="00E40C65"/>
    <w:rsid w:val="00E418D7"/>
    <w:rsid w:val="00E420E0"/>
    <w:rsid w:val="00E42E30"/>
    <w:rsid w:val="00E42F1A"/>
    <w:rsid w:val="00E42F56"/>
    <w:rsid w:val="00E42F9C"/>
    <w:rsid w:val="00E42FBC"/>
    <w:rsid w:val="00E43204"/>
    <w:rsid w:val="00E4325F"/>
    <w:rsid w:val="00E43297"/>
    <w:rsid w:val="00E43763"/>
    <w:rsid w:val="00E45830"/>
    <w:rsid w:val="00E45CB6"/>
    <w:rsid w:val="00E45E17"/>
    <w:rsid w:val="00E4603F"/>
    <w:rsid w:val="00E46077"/>
    <w:rsid w:val="00E4660E"/>
    <w:rsid w:val="00E46B7E"/>
    <w:rsid w:val="00E46F36"/>
    <w:rsid w:val="00E50EF3"/>
    <w:rsid w:val="00E51C73"/>
    <w:rsid w:val="00E52180"/>
    <w:rsid w:val="00E52216"/>
    <w:rsid w:val="00E5235D"/>
    <w:rsid w:val="00E52BAE"/>
    <w:rsid w:val="00E53303"/>
    <w:rsid w:val="00E535CF"/>
    <w:rsid w:val="00E552B4"/>
    <w:rsid w:val="00E5569B"/>
    <w:rsid w:val="00E55E80"/>
    <w:rsid w:val="00E5703A"/>
    <w:rsid w:val="00E57733"/>
    <w:rsid w:val="00E57ACE"/>
    <w:rsid w:val="00E57F9A"/>
    <w:rsid w:val="00E60686"/>
    <w:rsid w:val="00E60998"/>
    <w:rsid w:val="00E60F92"/>
    <w:rsid w:val="00E62D5B"/>
    <w:rsid w:val="00E6399A"/>
    <w:rsid w:val="00E63C93"/>
    <w:rsid w:val="00E6417F"/>
    <w:rsid w:val="00E6435A"/>
    <w:rsid w:val="00E64476"/>
    <w:rsid w:val="00E64BBD"/>
    <w:rsid w:val="00E64F00"/>
    <w:rsid w:val="00E660DB"/>
    <w:rsid w:val="00E66342"/>
    <w:rsid w:val="00E663E9"/>
    <w:rsid w:val="00E6658C"/>
    <w:rsid w:val="00E673CB"/>
    <w:rsid w:val="00E676E2"/>
    <w:rsid w:val="00E67CE6"/>
    <w:rsid w:val="00E7023C"/>
    <w:rsid w:val="00E7045B"/>
    <w:rsid w:val="00E7056C"/>
    <w:rsid w:val="00E70B2E"/>
    <w:rsid w:val="00E71220"/>
    <w:rsid w:val="00E714DA"/>
    <w:rsid w:val="00E715A2"/>
    <w:rsid w:val="00E71E5F"/>
    <w:rsid w:val="00E72088"/>
    <w:rsid w:val="00E721DF"/>
    <w:rsid w:val="00E75AB3"/>
    <w:rsid w:val="00E75F95"/>
    <w:rsid w:val="00E7636A"/>
    <w:rsid w:val="00E76561"/>
    <w:rsid w:val="00E76684"/>
    <w:rsid w:val="00E768E9"/>
    <w:rsid w:val="00E7772C"/>
    <w:rsid w:val="00E77B84"/>
    <w:rsid w:val="00E8057D"/>
    <w:rsid w:val="00E8064D"/>
    <w:rsid w:val="00E8079F"/>
    <w:rsid w:val="00E813D0"/>
    <w:rsid w:val="00E818CB"/>
    <w:rsid w:val="00E81A5E"/>
    <w:rsid w:val="00E82091"/>
    <w:rsid w:val="00E82F80"/>
    <w:rsid w:val="00E834BE"/>
    <w:rsid w:val="00E843B8"/>
    <w:rsid w:val="00E84512"/>
    <w:rsid w:val="00E8453A"/>
    <w:rsid w:val="00E84C64"/>
    <w:rsid w:val="00E856B1"/>
    <w:rsid w:val="00E86D0D"/>
    <w:rsid w:val="00E86E7A"/>
    <w:rsid w:val="00E870BD"/>
    <w:rsid w:val="00E87513"/>
    <w:rsid w:val="00E877C1"/>
    <w:rsid w:val="00E9053C"/>
    <w:rsid w:val="00E9073C"/>
    <w:rsid w:val="00E91572"/>
    <w:rsid w:val="00E9263B"/>
    <w:rsid w:val="00E93100"/>
    <w:rsid w:val="00E9335F"/>
    <w:rsid w:val="00E93B8B"/>
    <w:rsid w:val="00E96037"/>
    <w:rsid w:val="00E960AB"/>
    <w:rsid w:val="00EA09B9"/>
    <w:rsid w:val="00EA1113"/>
    <w:rsid w:val="00EA1827"/>
    <w:rsid w:val="00EA22A8"/>
    <w:rsid w:val="00EA2A16"/>
    <w:rsid w:val="00EA2DD6"/>
    <w:rsid w:val="00EA33BF"/>
    <w:rsid w:val="00EA430A"/>
    <w:rsid w:val="00EA4506"/>
    <w:rsid w:val="00EA66E8"/>
    <w:rsid w:val="00EA677F"/>
    <w:rsid w:val="00EA6918"/>
    <w:rsid w:val="00EA6CD5"/>
    <w:rsid w:val="00EA71A6"/>
    <w:rsid w:val="00EA7898"/>
    <w:rsid w:val="00EA797E"/>
    <w:rsid w:val="00EB0294"/>
    <w:rsid w:val="00EB04E6"/>
    <w:rsid w:val="00EB053E"/>
    <w:rsid w:val="00EB0D55"/>
    <w:rsid w:val="00EB13BF"/>
    <w:rsid w:val="00EB1A2D"/>
    <w:rsid w:val="00EB1B64"/>
    <w:rsid w:val="00EB2152"/>
    <w:rsid w:val="00EB21D6"/>
    <w:rsid w:val="00EB24E3"/>
    <w:rsid w:val="00EB26D6"/>
    <w:rsid w:val="00EB2C9E"/>
    <w:rsid w:val="00EB3C02"/>
    <w:rsid w:val="00EB3E3A"/>
    <w:rsid w:val="00EB4043"/>
    <w:rsid w:val="00EB4255"/>
    <w:rsid w:val="00EB4CD7"/>
    <w:rsid w:val="00EB4FC6"/>
    <w:rsid w:val="00EB5004"/>
    <w:rsid w:val="00EB532D"/>
    <w:rsid w:val="00EB5489"/>
    <w:rsid w:val="00EB5493"/>
    <w:rsid w:val="00EB54AA"/>
    <w:rsid w:val="00EB5953"/>
    <w:rsid w:val="00EB64D6"/>
    <w:rsid w:val="00EB65F6"/>
    <w:rsid w:val="00EB674C"/>
    <w:rsid w:val="00EB67A7"/>
    <w:rsid w:val="00EB693F"/>
    <w:rsid w:val="00EB6B92"/>
    <w:rsid w:val="00EB6BED"/>
    <w:rsid w:val="00EB7517"/>
    <w:rsid w:val="00EB7759"/>
    <w:rsid w:val="00EB7A56"/>
    <w:rsid w:val="00EB7BFA"/>
    <w:rsid w:val="00EB7C5A"/>
    <w:rsid w:val="00EC00D6"/>
    <w:rsid w:val="00EC02ED"/>
    <w:rsid w:val="00EC0C4D"/>
    <w:rsid w:val="00EC132F"/>
    <w:rsid w:val="00EC1817"/>
    <w:rsid w:val="00EC18D9"/>
    <w:rsid w:val="00EC1938"/>
    <w:rsid w:val="00EC21E9"/>
    <w:rsid w:val="00EC2554"/>
    <w:rsid w:val="00EC2DA8"/>
    <w:rsid w:val="00EC300B"/>
    <w:rsid w:val="00EC3275"/>
    <w:rsid w:val="00EC3BA0"/>
    <w:rsid w:val="00EC3E24"/>
    <w:rsid w:val="00EC4037"/>
    <w:rsid w:val="00EC49CE"/>
    <w:rsid w:val="00EC4F28"/>
    <w:rsid w:val="00EC5001"/>
    <w:rsid w:val="00EC5157"/>
    <w:rsid w:val="00EC590D"/>
    <w:rsid w:val="00EC5A12"/>
    <w:rsid w:val="00EC60F6"/>
    <w:rsid w:val="00EC6A0E"/>
    <w:rsid w:val="00ED135E"/>
    <w:rsid w:val="00ED1673"/>
    <w:rsid w:val="00ED20FF"/>
    <w:rsid w:val="00ED2A46"/>
    <w:rsid w:val="00ED2CA7"/>
    <w:rsid w:val="00ED2D8B"/>
    <w:rsid w:val="00ED37E9"/>
    <w:rsid w:val="00ED3977"/>
    <w:rsid w:val="00ED3DF4"/>
    <w:rsid w:val="00ED3EB8"/>
    <w:rsid w:val="00ED3FBE"/>
    <w:rsid w:val="00ED4278"/>
    <w:rsid w:val="00ED4B5F"/>
    <w:rsid w:val="00ED5800"/>
    <w:rsid w:val="00ED58B7"/>
    <w:rsid w:val="00ED58F2"/>
    <w:rsid w:val="00ED58F9"/>
    <w:rsid w:val="00ED5B4F"/>
    <w:rsid w:val="00ED6491"/>
    <w:rsid w:val="00ED6A70"/>
    <w:rsid w:val="00ED748D"/>
    <w:rsid w:val="00ED7612"/>
    <w:rsid w:val="00ED7814"/>
    <w:rsid w:val="00EE002F"/>
    <w:rsid w:val="00EE05E3"/>
    <w:rsid w:val="00EE0B3E"/>
    <w:rsid w:val="00EE0E70"/>
    <w:rsid w:val="00EE1378"/>
    <w:rsid w:val="00EE155D"/>
    <w:rsid w:val="00EE2330"/>
    <w:rsid w:val="00EE2442"/>
    <w:rsid w:val="00EE2DF3"/>
    <w:rsid w:val="00EE331F"/>
    <w:rsid w:val="00EE379C"/>
    <w:rsid w:val="00EE3969"/>
    <w:rsid w:val="00EE3A03"/>
    <w:rsid w:val="00EE401E"/>
    <w:rsid w:val="00EE4752"/>
    <w:rsid w:val="00EE4C0F"/>
    <w:rsid w:val="00EE4C55"/>
    <w:rsid w:val="00EE5370"/>
    <w:rsid w:val="00EE54E0"/>
    <w:rsid w:val="00EE5533"/>
    <w:rsid w:val="00EE570B"/>
    <w:rsid w:val="00EE6253"/>
    <w:rsid w:val="00EE7B0C"/>
    <w:rsid w:val="00EF0D9A"/>
    <w:rsid w:val="00EF2D48"/>
    <w:rsid w:val="00EF3F54"/>
    <w:rsid w:val="00EF3FE9"/>
    <w:rsid w:val="00EF45FC"/>
    <w:rsid w:val="00EF4B01"/>
    <w:rsid w:val="00EF4E42"/>
    <w:rsid w:val="00EF61FA"/>
    <w:rsid w:val="00EF6325"/>
    <w:rsid w:val="00EF66B2"/>
    <w:rsid w:val="00EF6CF6"/>
    <w:rsid w:val="00EF72CA"/>
    <w:rsid w:val="00EF72E5"/>
    <w:rsid w:val="00EF7460"/>
    <w:rsid w:val="00EF7D45"/>
    <w:rsid w:val="00F00073"/>
    <w:rsid w:val="00F00426"/>
    <w:rsid w:val="00F00F6F"/>
    <w:rsid w:val="00F0155B"/>
    <w:rsid w:val="00F018C3"/>
    <w:rsid w:val="00F019F4"/>
    <w:rsid w:val="00F01C03"/>
    <w:rsid w:val="00F0353C"/>
    <w:rsid w:val="00F03D39"/>
    <w:rsid w:val="00F047A6"/>
    <w:rsid w:val="00F047EC"/>
    <w:rsid w:val="00F05137"/>
    <w:rsid w:val="00F05CAD"/>
    <w:rsid w:val="00F06E75"/>
    <w:rsid w:val="00F070CE"/>
    <w:rsid w:val="00F101F1"/>
    <w:rsid w:val="00F10637"/>
    <w:rsid w:val="00F10F17"/>
    <w:rsid w:val="00F1113F"/>
    <w:rsid w:val="00F114F9"/>
    <w:rsid w:val="00F1177E"/>
    <w:rsid w:val="00F12350"/>
    <w:rsid w:val="00F1253E"/>
    <w:rsid w:val="00F12836"/>
    <w:rsid w:val="00F13238"/>
    <w:rsid w:val="00F13661"/>
    <w:rsid w:val="00F1379F"/>
    <w:rsid w:val="00F13DF4"/>
    <w:rsid w:val="00F145CC"/>
    <w:rsid w:val="00F149C9"/>
    <w:rsid w:val="00F14EB7"/>
    <w:rsid w:val="00F1658F"/>
    <w:rsid w:val="00F16D52"/>
    <w:rsid w:val="00F16DA9"/>
    <w:rsid w:val="00F17496"/>
    <w:rsid w:val="00F1766C"/>
    <w:rsid w:val="00F17CB6"/>
    <w:rsid w:val="00F17F32"/>
    <w:rsid w:val="00F2107B"/>
    <w:rsid w:val="00F215A4"/>
    <w:rsid w:val="00F228E9"/>
    <w:rsid w:val="00F22B63"/>
    <w:rsid w:val="00F22E75"/>
    <w:rsid w:val="00F23054"/>
    <w:rsid w:val="00F2353A"/>
    <w:rsid w:val="00F23A3C"/>
    <w:rsid w:val="00F261A2"/>
    <w:rsid w:val="00F268DC"/>
    <w:rsid w:val="00F26910"/>
    <w:rsid w:val="00F26C12"/>
    <w:rsid w:val="00F26E10"/>
    <w:rsid w:val="00F27B2B"/>
    <w:rsid w:val="00F3029C"/>
    <w:rsid w:val="00F3088F"/>
    <w:rsid w:val="00F310D6"/>
    <w:rsid w:val="00F314E1"/>
    <w:rsid w:val="00F331A4"/>
    <w:rsid w:val="00F3384D"/>
    <w:rsid w:val="00F34522"/>
    <w:rsid w:val="00F34A56"/>
    <w:rsid w:val="00F35006"/>
    <w:rsid w:val="00F350D5"/>
    <w:rsid w:val="00F353B9"/>
    <w:rsid w:val="00F36334"/>
    <w:rsid w:val="00F36662"/>
    <w:rsid w:val="00F3752D"/>
    <w:rsid w:val="00F37905"/>
    <w:rsid w:val="00F37C01"/>
    <w:rsid w:val="00F37C23"/>
    <w:rsid w:val="00F40155"/>
    <w:rsid w:val="00F40854"/>
    <w:rsid w:val="00F41793"/>
    <w:rsid w:val="00F429E9"/>
    <w:rsid w:val="00F42C57"/>
    <w:rsid w:val="00F430F7"/>
    <w:rsid w:val="00F43CAC"/>
    <w:rsid w:val="00F443F0"/>
    <w:rsid w:val="00F44BA0"/>
    <w:rsid w:val="00F45222"/>
    <w:rsid w:val="00F4567E"/>
    <w:rsid w:val="00F460B8"/>
    <w:rsid w:val="00F463AD"/>
    <w:rsid w:val="00F501A9"/>
    <w:rsid w:val="00F50369"/>
    <w:rsid w:val="00F50E9C"/>
    <w:rsid w:val="00F5163F"/>
    <w:rsid w:val="00F55F3D"/>
    <w:rsid w:val="00F5700A"/>
    <w:rsid w:val="00F573CC"/>
    <w:rsid w:val="00F576E0"/>
    <w:rsid w:val="00F57CB4"/>
    <w:rsid w:val="00F57EAA"/>
    <w:rsid w:val="00F60BAB"/>
    <w:rsid w:val="00F6114A"/>
    <w:rsid w:val="00F611AE"/>
    <w:rsid w:val="00F616C3"/>
    <w:rsid w:val="00F61FEB"/>
    <w:rsid w:val="00F6268E"/>
    <w:rsid w:val="00F627C8"/>
    <w:rsid w:val="00F62B3B"/>
    <w:rsid w:val="00F62F54"/>
    <w:rsid w:val="00F63334"/>
    <w:rsid w:val="00F6393E"/>
    <w:rsid w:val="00F63B99"/>
    <w:rsid w:val="00F642D5"/>
    <w:rsid w:val="00F6636E"/>
    <w:rsid w:val="00F66722"/>
    <w:rsid w:val="00F66F7D"/>
    <w:rsid w:val="00F6744D"/>
    <w:rsid w:val="00F7026C"/>
    <w:rsid w:val="00F716FC"/>
    <w:rsid w:val="00F71A89"/>
    <w:rsid w:val="00F72773"/>
    <w:rsid w:val="00F72FD5"/>
    <w:rsid w:val="00F73C03"/>
    <w:rsid w:val="00F743E0"/>
    <w:rsid w:val="00F7450D"/>
    <w:rsid w:val="00F74A60"/>
    <w:rsid w:val="00F77904"/>
    <w:rsid w:val="00F77E0A"/>
    <w:rsid w:val="00F809FC"/>
    <w:rsid w:val="00F80CE0"/>
    <w:rsid w:val="00F81446"/>
    <w:rsid w:val="00F817AF"/>
    <w:rsid w:val="00F817E2"/>
    <w:rsid w:val="00F8183D"/>
    <w:rsid w:val="00F8186B"/>
    <w:rsid w:val="00F81D68"/>
    <w:rsid w:val="00F83000"/>
    <w:rsid w:val="00F83293"/>
    <w:rsid w:val="00F83E5D"/>
    <w:rsid w:val="00F8501F"/>
    <w:rsid w:val="00F85575"/>
    <w:rsid w:val="00F85A57"/>
    <w:rsid w:val="00F864D6"/>
    <w:rsid w:val="00F86F43"/>
    <w:rsid w:val="00F87444"/>
    <w:rsid w:val="00F87A39"/>
    <w:rsid w:val="00F87C0C"/>
    <w:rsid w:val="00F87C9B"/>
    <w:rsid w:val="00F87D63"/>
    <w:rsid w:val="00F87E16"/>
    <w:rsid w:val="00F87FC6"/>
    <w:rsid w:val="00F9111F"/>
    <w:rsid w:val="00F9162B"/>
    <w:rsid w:val="00F91949"/>
    <w:rsid w:val="00F91D57"/>
    <w:rsid w:val="00F91F90"/>
    <w:rsid w:val="00F926AB"/>
    <w:rsid w:val="00F92F7F"/>
    <w:rsid w:val="00F938F9"/>
    <w:rsid w:val="00F942DC"/>
    <w:rsid w:val="00F94477"/>
    <w:rsid w:val="00F95918"/>
    <w:rsid w:val="00F95D30"/>
    <w:rsid w:val="00F969B3"/>
    <w:rsid w:val="00F97298"/>
    <w:rsid w:val="00F972F3"/>
    <w:rsid w:val="00F97798"/>
    <w:rsid w:val="00F97FFA"/>
    <w:rsid w:val="00FA0D8F"/>
    <w:rsid w:val="00FA1599"/>
    <w:rsid w:val="00FA1B51"/>
    <w:rsid w:val="00FA30D3"/>
    <w:rsid w:val="00FA3888"/>
    <w:rsid w:val="00FA3A5B"/>
    <w:rsid w:val="00FA44E1"/>
    <w:rsid w:val="00FA5781"/>
    <w:rsid w:val="00FA5C8A"/>
    <w:rsid w:val="00FA600A"/>
    <w:rsid w:val="00FA6BBD"/>
    <w:rsid w:val="00FA6BEC"/>
    <w:rsid w:val="00FA75FA"/>
    <w:rsid w:val="00FA7C98"/>
    <w:rsid w:val="00FB0C74"/>
    <w:rsid w:val="00FB0E3C"/>
    <w:rsid w:val="00FB111D"/>
    <w:rsid w:val="00FB1658"/>
    <w:rsid w:val="00FB1C5A"/>
    <w:rsid w:val="00FB1C83"/>
    <w:rsid w:val="00FB21E9"/>
    <w:rsid w:val="00FB2276"/>
    <w:rsid w:val="00FB2988"/>
    <w:rsid w:val="00FB2C4B"/>
    <w:rsid w:val="00FB3FC5"/>
    <w:rsid w:val="00FB411D"/>
    <w:rsid w:val="00FB4E29"/>
    <w:rsid w:val="00FB58FE"/>
    <w:rsid w:val="00FB5AC4"/>
    <w:rsid w:val="00FB7190"/>
    <w:rsid w:val="00FC0DF2"/>
    <w:rsid w:val="00FC0EA0"/>
    <w:rsid w:val="00FC1153"/>
    <w:rsid w:val="00FC15DE"/>
    <w:rsid w:val="00FC209F"/>
    <w:rsid w:val="00FC3390"/>
    <w:rsid w:val="00FC427C"/>
    <w:rsid w:val="00FC4DA3"/>
    <w:rsid w:val="00FC4F2A"/>
    <w:rsid w:val="00FC502D"/>
    <w:rsid w:val="00FC5204"/>
    <w:rsid w:val="00FC56DC"/>
    <w:rsid w:val="00FC5735"/>
    <w:rsid w:val="00FC59DF"/>
    <w:rsid w:val="00FC68FD"/>
    <w:rsid w:val="00FC6A8C"/>
    <w:rsid w:val="00FC7A40"/>
    <w:rsid w:val="00FC7C8D"/>
    <w:rsid w:val="00FC7FC1"/>
    <w:rsid w:val="00FD01A1"/>
    <w:rsid w:val="00FD06D6"/>
    <w:rsid w:val="00FD07E0"/>
    <w:rsid w:val="00FD1008"/>
    <w:rsid w:val="00FD11F2"/>
    <w:rsid w:val="00FD3413"/>
    <w:rsid w:val="00FD3486"/>
    <w:rsid w:val="00FD3D92"/>
    <w:rsid w:val="00FD3F29"/>
    <w:rsid w:val="00FD43D0"/>
    <w:rsid w:val="00FD4526"/>
    <w:rsid w:val="00FD528E"/>
    <w:rsid w:val="00FD5428"/>
    <w:rsid w:val="00FD57E9"/>
    <w:rsid w:val="00FD67DA"/>
    <w:rsid w:val="00FD6EC2"/>
    <w:rsid w:val="00FD74AB"/>
    <w:rsid w:val="00FE058F"/>
    <w:rsid w:val="00FE0867"/>
    <w:rsid w:val="00FE0A3C"/>
    <w:rsid w:val="00FE17D1"/>
    <w:rsid w:val="00FE1BE0"/>
    <w:rsid w:val="00FE227A"/>
    <w:rsid w:val="00FE233F"/>
    <w:rsid w:val="00FE2C50"/>
    <w:rsid w:val="00FE3927"/>
    <w:rsid w:val="00FE612D"/>
    <w:rsid w:val="00FE615A"/>
    <w:rsid w:val="00FE66E5"/>
    <w:rsid w:val="00FE67BD"/>
    <w:rsid w:val="00FE7115"/>
    <w:rsid w:val="00FE798B"/>
    <w:rsid w:val="00FE7ABF"/>
    <w:rsid w:val="00FF02EE"/>
    <w:rsid w:val="00FF0A21"/>
    <w:rsid w:val="00FF0B46"/>
    <w:rsid w:val="00FF0C2C"/>
    <w:rsid w:val="00FF145B"/>
    <w:rsid w:val="00FF149F"/>
    <w:rsid w:val="00FF3C56"/>
    <w:rsid w:val="00FF4162"/>
    <w:rsid w:val="00FF4B53"/>
    <w:rsid w:val="00FF4E00"/>
    <w:rsid w:val="00FF5455"/>
    <w:rsid w:val="00FF573F"/>
    <w:rsid w:val="00FF5BEA"/>
    <w:rsid w:val="00FF68D2"/>
    <w:rsid w:val="00FF6A64"/>
    <w:rsid w:val="00FF6B8E"/>
    <w:rsid w:val="00FF75D3"/>
    <w:rsid w:val="00FF7601"/>
    <w:rsid w:val="00FF7D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8B470"/>
  <w15:docId w15:val="{4D54C2BF-7250-46A8-98C2-373ADF4E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76"/>
    <w:rPr>
      <w:rFonts w:cstheme="minorBidi"/>
      <w:szCs w:val="22"/>
    </w:rPr>
  </w:style>
  <w:style w:type="paragraph" w:styleId="Ttulo1">
    <w:name w:val="heading 1"/>
    <w:basedOn w:val="Normal"/>
    <w:next w:val="Normal"/>
    <w:link w:val="Ttulo1Char"/>
    <w:uiPriority w:val="9"/>
    <w:qFormat/>
    <w:rsid w:val="00276D76"/>
    <w:pPr>
      <w:keepNext/>
      <w:keepLines/>
      <w:numPr>
        <w:numId w:val="1"/>
      </w:numPr>
      <w:outlineLvl w:val="0"/>
    </w:pPr>
    <w:rPr>
      <w:rFonts w:eastAsiaTheme="majorEastAsia" w:cstheme="majorBidi"/>
      <w:b/>
      <w:caps/>
      <w:szCs w:val="32"/>
    </w:rPr>
  </w:style>
  <w:style w:type="paragraph" w:styleId="Ttulo2">
    <w:name w:val="heading 2"/>
    <w:next w:val="SemEspaamento"/>
    <w:link w:val="Ttulo2Char"/>
    <w:uiPriority w:val="9"/>
    <w:unhideWhenUsed/>
    <w:qFormat/>
    <w:rsid w:val="00CF4B73"/>
    <w:pPr>
      <w:keepNext/>
      <w:keepLines/>
      <w:numPr>
        <w:ilvl w:val="1"/>
        <w:numId w:val="1"/>
      </w:numPr>
      <w:outlineLvl w:val="1"/>
    </w:pPr>
    <w:rPr>
      <w:rFonts w:eastAsiaTheme="majorEastAsia" w:cstheme="majorBidi"/>
      <w:bCs/>
      <w:caps/>
      <w:szCs w:val="26"/>
    </w:rPr>
  </w:style>
  <w:style w:type="paragraph" w:styleId="Ttulo3">
    <w:name w:val="heading 3"/>
    <w:basedOn w:val="Normal"/>
    <w:next w:val="Normal"/>
    <w:link w:val="Ttulo3Char"/>
    <w:uiPriority w:val="9"/>
    <w:unhideWhenUsed/>
    <w:qFormat/>
    <w:rsid w:val="006C1123"/>
    <w:pPr>
      <w:keepNext/>
      <w:keepLines/>
      <w:numPr>
        <w:ilvl w:val="2"/>
        <w:numId w:val="1"/>
      </w:numPr>
      <w:outlineLvl w:val="2"/>
    </w:pPr>
    <w:rPr>
      <w:rFonts w:eastAsiaTheme="majorEastAsia" w:cstheme="majorBidi"/>
      <w:szCs w:val="24"/>
    </w:rPr>
  </w:style>
  <w:style w:type="paragraph" w:styleId="Ttulo4">
    <w:name w:val="heading 4"/>
    <w:basedOn w:val="Normal"/>
    <w:next w:val="Normal"/>
    <w:link w:val="Ttulo4Char"/>
    <w:uiPriority w:val="9"/>
    <w:unhideWhenUsed/>
    <w:qFormat/>
    <w:rsid w:val="004510F5"/>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276D7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276D7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276D7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6D7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6D7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6D76"/>
    <w:rPr>
      <w:rFonts w:eastAsiaTheme="majorEastAsia" w:cstheme="majorBidi"/>
      <w:b/>
      <w:caps/>
      <w:szCs w:val="32"/>
    </w:rPr>
  </w:style>
  <w:style w:type="paragraph" w:styleId="SemEspaamento">
    <w:name w:val="No Spacing"/>
    <w:uiPriority w:val="1"/>
    <w:rsid w:val="008066A1"/>
    <w:pPr>
      <w:spacing w:line="240" w:lineRule="auto"/>
    </w:pPr>
    <w:rPr>
      <w:rFonts w:cstheme="minorBidi"/>
      <w:szCs w:val="22"/>
    </w:rPr>
  </w:style>
  <w:style w:type="character" w:customStyle="1" w:styleId="Ttulo2Char">
    <w:name w:val="Título 2 Char"/>
    <w:basedOn w:val="Fontepargpadro"/>
    <w:link w:val="Ttulo2"/>
    <w:uiPriority w:val="9"/>
    <w:rsid w:val="00CF4B73"/>
    <w:rPr>
      <w:rFonts w:eastAsiaTheme="majorEastAsia" w:cstheme="majorBidi"/>
      <w:bCs/>
      <w:caps/>
      <w:szCs w:val="26"/>
    </w:rPr>
  </w:style>
  <w:style w:type="character" w:customStyle="1" w:styleId="Ttulo3Char">
    <w:name w:val="Título 3 Char"/>
    <w:basedOn w:val="Fontepargpadro"/>
    <w:link w:val="Ttulo3"/>
    <w:uiPriority w:val="9"/>
    <w:rsid w:val="006C1123"/>
    <w:rPr>
      <w:rFonts w:eastAsiaTheme="majorEastAsia" w:cstheme="majorBidi"/>
    </w:rPr>
  </w:style>
  <w:style w:type="character" w:customStyle="1" w:styleId="Ttulo4Char">
    <w:name w:val="Título 4 Char"/>
    <w:basedOn w:val="Fontepargpadro"/>
    <w:link w:val="Ttulo4"/>
    <w:uiPriority w:val="9"/>
    <w:rsid w:val="004510F5"/>
    <w:rPr>
      <w:rFonts w:eastAsiaTheme="majorEastAsia" w:cstheme="majorBidi"/>
      <w:iCs/>
      <w:szCs w:val="22"/>
    </w:rPr>
  </w:style>
  <w:style w:type="character" w:customStyle="1" w:styleId="Ttulo5Char">
    <w:name w:val="Título 5 Char"/>
    <w:basedOn w:val="Fontepargpadro"/>
    <w:link w:val="Ttulo5"/>
    <w:uiPriority w:val="9"/>
    <w:semiHidden/>
    <w:rsid w:val="00276D76"/>
    <w:rPr>
      <w:rFonts w:asciiTheme="majorHAnsi" w:eastAsiaTheme="majorEastAsia" w:hAnsiTheme="majorHAnsi" w:cstheme="majorBidi"/>
      <w:color w:val="2E74B5" w:themeColor="accent1" w:themeShade="BF"/>
      <w:szCs w:val="22"/>
    </w:rPr>
  </w:style>
  <w:style w:type="character" w:customStyle="1" w:styleId="Ttulo6Char">
    <w:name w:val="Título 6 Char"/>
    <w:basedOn w:val="Fontepargpadro"/>
    <w:link w:val="Ttulo6"/>
    <w:uiPriority w:val="9"/>
    <w:semiHidden/>
    <w:rsid w:val="00276D76"/>
    <w:rPr>
      <w:rFonts w:asciiTheme="majorHAnsi" w:eastAsiaTheme="majorEastAsia" w:hAnsiTheme="majorHAnsi" w:cstheme="majorBidi"/>
      <w:color w:val="1F4D78" w:themeColor="accent1" w:themeShade="7F"/>
      <w:szCs w:val="22"/>
    </w:rPr>
  </w:style>
  <w:style w:type="character" w:customStyle="1" w:styleId="Ttulo7Char">
    <w:name w:val="Título 7 Char"/>
    <w:basedOn w:val="Fontepargpadro"/>
    <w:link w:val="Ttulo7"/>
    <w:uiPriority w:val="9"/>
    <w:semiHidden/>
    <w:rsid w:val="00276D76"/>
    <w:rPr>
      <w:rFonts w:asciiTheme="majorHAnsi" w:eastAsiaTheme="majorEastAsia" w:hAnsiTheme="majorHAnsi" w:cstheme="majorBidi"/>
      <w:i/>
      <w:iCs/>
      <w:color w:val="1F4D78" w:themeColor="accent1" w:themeShade="7F"/>
      <w:szCs w:val="22"/>
    </w:rPr>
  </w:style>
  <w:style w:type="character" w:customStyle="1" w:styleId="Ttulo8Char">
    <w:name w:val="Título 8 Char"/>
    <w:basedOn w:val="Fontepargpadro"/>
    <w:link w:val="Ttulo8"/>
    <w:uiPriority w:val="9"/>
    <w:semiHidden/>
    <w:rsid w:val="00276D7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6D76"/>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CD0EA2"/>
    <w:pPr>
      <w:ind w:left="720"/>
      <w:contextualSpacing/>
    </w:pPr>
  </w:style>
  <w:style w:type="table" w:styleId="Tabelacomgrade">
    <w:name w:val="Table Grid"/>
    <w:basedOn w:val="Tabelanormal"/>
    <w:uiPriority w:val="39"/>
    <w:rsid w:val="009D78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ontepargpadro"/>
    <w:rsid w:val="00FA5781"/>
  </w:style>
  <w:style w:type="character" w:customStyle="1" w:styleId="tgc">
    <w:name w:val="_tgc"/>
    <w:basedOn w:val="Fontepargpadro"/>
    <w:rsid w:val="00CE55AD"/>
  </w:style>
  <w:style w:type="paragraph" w:styleId="NormalWeb">
    <w:name w:val="Normal (Web)"/>
    <w:basedOn w:val="Normal"/>
    <w:uiPriority w:val="99"/>
    <w:unhideWhenUsed/>
    <w:rsid w:val="00CE55AD"/>
    <w:pPr>
      <w:spacing w:before="100" w:beforeAutospacing="1" w:after="100" w:afterAutospacing="1" w:line="240" w:lineRule="auto"/>
      <w:ind w:firstLine="0"/>
      <w:jc w:val="left"/>
    </w:pPr>
    <w:rPr>
      <w:rFonts w:eastAsiaTheme="minorEastAsia"/>
      <w:lang w:eastAsia="pt-BR"/>
    </w:rPr>
  </w:style>
  <w:style w:type="paragraph" w:styleId="Cabealho">
    <w:name w:val="header"/>
    <w:basedOn w:val="Normal"/>
    <w:link w:val="CabealhoChar"/>
    <w:uiPriority w:val="99"/>
    <w:unhideWhenUsed/>
    <w:rsid w:val="00A1160D"/>
    <w:pPr>
      <w:tabs>
        <w:tab w:val="center" w:pos="4252"/>
        <w:tab w:val="right" w:pos="8504"/>
      </w:tabs>
      <w:spacing w:line="240" w:lineRule="auto"/>
    </w:pPr>
  </w:style>
  <w:style w:type="character" w:customStyle="1" w:styleId="CabealhoChar">
    <w:name w:val="Cabeçalho Char"/>
    <w:basedOn w:val="Fontepargpadro"/>
    <w:link w:val="Cabealho"/>
    <w:uiPriority w:val="99"/>
    <w:qFormat/>
    <w:rsid w:val="00A1160D"/>
  </w:style>
  <w:style w:type="paragraph" w:styleId="Rodap">
    <w:name w:val="footer"/>
    <w:basedOn w:val="Normal"/>
    <w:link w:val="RodapChar"/>
    <w:uiPriority w:val="99"/>
    <w:unhideWhenUsed/>
    <w:rsid w:val="00A1160D"/>
    <w:pPr>
      <w:tabs>
        <w:tab w:val="center" w:pos="4252"/>
        <w:tab w:val="right" w:pos="8504"/>
      </w:tabs>
      <w:spacing w:line="240" w:lineRule="auto"/>
    </w:pPr>
  </w:style>
  <w:style w:type="character" w:customStyle="1" w:styleId="RodapChar">
    <w:name w:val="Rodapé Char"/>
    <w:basedOn w:val="Fontepargpadro"/>
    <w:link w:val="Rodap"/>
    <w:uiPriority w:val="99"/>
    <w:rsid w:val="00A1160D"/>
  </w:style>
  <w:style w:type="paragraph" w:styleId="Textodenotaderodap">
    <w:name w:val="footnote text"/>
    <w:basedOn w:val="Normal"/>
    <w:link w:val="TextodenotaderodapChar"/>
    <w:uiPriority w:val="99"/>
    <w:semiHidden/>
    <w:unhideWhenUsed/>
    <w:rsid w:val="00783D1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83D16"/>
    <w:rPr>
      <w:sz w:val="20"/>
      <w:szCs w:val="20"/>
    </w:rPr>
  </w:style>
  <w:style w:type="character" w:styleId="Refdenotaderodap">
    <w:name w:val="footnote reference"/>
    <w:basedOn w:val="Fontepargpadro"/>
    <w:uiPriority w:val="99"/>
    <w:semiHidden/>
    <w:unhideWhenUsed/>
    <w:rsid w:val="00783D16"/>
    <w:rPr>
      <w:vertAlign w:val="superscript"/>
    </w:rPr>
  </w:style>
  <w:style w:type="paragraph" w:styleId="ndicedeilustraes">
    <w:name w:val="table of figures"/>
    <w:basedOn w:val="Normal"/>
    <w:next w:val="Normal"/>
    <w:uiPriority w:val="99"/>
    <w:unhideWhenUsed/>
    <w:rsid w:val="004169EF"/>
  </w:style>
  <w:style w:type="paragraph" w:styleId="Bibliografia">
    <w:name w:val="Bibliography"/>
    <w:basedOn w:val="Normal"/>
    <w:next w:val="Normal"/>
    <w:uiPriority w:val="37"/>
    <w:unhideWhenUsed/>
    <w:rsid w:val="008066A1"/>
  </w:style>
  <w:style w:type="paragraph" w:customStyle="1" w:styleId="CitaoLonga">
    <w:name w:val="Citação Longa"/>
    <w:basedOn w:val="SemEspaamento"/>
    <w:next w:val="Normal"/>
    <w:qFormat/>
    <w:rsid w:val="008066A1"/>
    <w:pPr>
      <w:ind w:left="2268"/>
    </w:pPr>
    <w:rPr>
      <w:sz w:val="20"/>
    </w:rPr>
  </w:style>
  <w:style w:type="paragraph" w:customStyle="1" w:styleId="RefernciasFinais">
    <w:name w:val="Referências Finais"/>
    <w:basedOn w:val="Normal"/>
    <w:link w:val="RefernciasFinaisChar"/>
    <w:rsid w:val="00835576"/>
    <w:pPr>
      <w:spacing w:line="240" w:lineRule="auto"/>
      <w:ind w:firstLine="0"/>
      <w:jc w:val="left"/>
      <w:outlineLvl w:val="0"/>
    </w:pPr>
  </w:style>
  <w:style w:type="character" w:customStyle="1" w:styleId="RefernciasFinaisChar">
    <w:name w:val="Referências Finais Char"/>
    <w:basedOn w:val="Fontepargpadro"/>
    <w:link w:val="RefernciasFinais"/>
    <w:rsid w:val="00835576"/>
    <w:rPr>
      <w:rFonts w:cstheme="minorBidi"/>
      <w:szCs w:val="22"/>
    </w:rPr>
  </w:style>
  <w:style w:type="paragraph" w:styleId="Subttulo">
    <w:name w:val="Subtitle"/>
    <w:basedOn w:val="Normal"/>
    <w:next w:val="Normal"/>
    <w:link w:val="SubttuloChar"/>
    <w:uiPriority w:val="11"/>
    <w:rsid w:val="008066A1"/>
    <w:pPr>
      <w:numPr>
        <w:ilvl w:val="1"/>
      </w:numPr>
      <w:spacing w:line="240" w:lineRule="auto"/>
      <w:ind w:firstLine="709"/>
      <w:jc w:val="left"/>
    </w:pPr>
    <w:rPr>
      <w:rFonts w:eastAsiaTheme="minorEastAsia"/>
      <w:spacing w:val="15"/>
      <w:sz w:val="20"/>
    </w:rPr>
  </w:style>
  <w:style w:type="character" w:customStyle="1" w:styleId="SubttuloChar">
    <w:name w:val="Subtítulo Char"/>
    <w:basedOn w:val="Fontepargpadro"/>
    <w:link w:val="Subttulo"/>
    <w:uiPriority w:val="11"/>
    <w:rsid w:val="008066A1"/>
    <w:rPr>
      <w:rFonts w:eastAsiaTheme="minorEastAsia" w:cstheme="minorBidi"/>
      <w:spacing w:val="15"/>
      <w:sz w:val="20"/>
      <w:szCs w:val="22"/>
    </w:rPr>
  </w:style>
  <w:style w:type="paragraph" w:styleId="Ttulo">
    <w:name w:val="Title"/>
    <w:basedOn w:val="Normal"/>
    <w:next w:val="Normal"/>
    <w:link w:val="TtuloChar"/>
    <w:uiPriority w:val="10"/>
    <w:qFormat/>
    <w:rsid w:val="00AB7C98"/>
    <w:pPr>
      <w:ind w:firstLine="0"/>
      <w:contextualSpacing/>
      <w:jc w:val="center"/>
      <w:outlineLvl w:val="0"/>
    </w:pPr>
    <w:rPr>
      <w:rFonts w:eastAsiaTheme="majorEastAsia" w:cstheme="majorBidi"/>
      <w:b/>
      <w:caps/>
      <w:spacing w:val="-10"/>
      <w:kern w:val="28"/>
      <w:szCs w:val="56"/>
    </w:rPr>
  </w:style>
  <w:style w:type="character" w:customStyle="1" w:styleId="TtuloChar">
    <w:name w:val="Título Char"/>
    <w:basedOn w:val="Fontepargpadro"/>
    <w:link w:val="Ttulo"/>
    <w:uiPriority w:val="10"/>
    <w:rsid w:val="00AB7C98"/>
    <w:rPr>
      <w:rFonts w:eastAsiaTheme="majorEastAsia" w:cstheme="majorBidi"/>
      <w:b/>
      <w:caps/>
      <w:spacing w:val="-10"/>
      <w:kern w:val="28"/>
      <w:szCs w:val="56"/>
    </w:rPr>
  </w:style>
  <w:style w:type="paragraph" w:styleId="Legenda">
    <w:name w:val="caption"/>
    <w:basedOn w:val="Normal"/>
    <w:next w:val="Normal"/>
    <w:uiPriority w:val="35"/>
    <w:unhideWhenUsed/>
    <w:rsid w:val="0069648F"/>
    <w:pPr>
      <w:spacing w:line="240" w:lineRule="auto"/>
      <w:ind w:firstLine="0"/>
    </w:pPr>
    <w:rPr>
      <w:iCs/>
      <w:sz w:val="20"/>
      <w:szCs w:val="18"/>
    </w:rPr>
  </w:style>
  <w:style w:type="character" w:styleId="Hyperlink">
    <w:name w:val="Hyperlink"/>
    <w:basedOn w:val="Fontepargpadro"/>
    <w:uiPriority w:val="99"/>
    <w:unhideWhenUsed/>
    <w:rsid w:val="0014105A"/>
    <w:rPr>
      <w:color w:val="0563C1" w:themeColor="hyperlink"/>
      <w:u w:val="single"/>
    </w:rPr>
  </w:style>
  <w:style w:type="paragraph" w:styleId="Textodebalo">
    <w:name w:val="Balloon Text"/>
    <w:basedOn w:val="Normal"/>
    <w:link w:val="TextodebaloChar"/>
    <w:uiPriority w:val="99"/>
    <w:semiHidden/>
    <w:unhideWhenUsed/>
    <w:rsid w:val="00D06B1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06B14"/>
    <w:rPr>
      <w:rFonts w:ascii="Segoe UI" w:hAnsi="Segoe UI" w:cs="Segoe UI"/>
      <w:sz w:val="18"/>
      <w:szCs w:val="18"/>
    </w:rPr>
  </w:style>
  <w:style w:type="paragraph" w:styleId="CabealhodoSumrio">
    <w:name w:val="TOC Heading"/>
    <w:basedOn w:val="Ttulo1"/>
    <w:next w:val="Normal"/>
    <w:uiPriority w:val="39"/>
    <w:unhideWhenUsed/>
    <w:rsid w:val="00F74A60"/>
    <w:pPr>
      <w:spacing w:line="259" w:lineRule="auto"/>
      <w:jc w:val="left"/>
      <w:outlineLvl w:val="9"/>
    </w:pPr>
    <w:rPr>
      <w:lang w:eastAsia="pt-BR"/>
    </w:rPr>
  </w:style>
  <w:style w:type="paragraph" w:styleId="Sumrio1">
    <w:name w:val="toc 1"/>
    <w:basedOn w:val="Normal"/>
    <w:next w:val="Normal"/>
    <w:autoRedefine/>
    <w:uiPriority w:val="39"/>
    <w:unhideWhenUsed/>
    <w:rsid w:val="00F047EC"/>
    <w:pPr>
      <w:tabs>
        <w:tab w:val="right" w:leader="dot" w:pos="9061"/>
      </w:tabs>
      <w:spacing w:before="80" w:after="80"/>
      <w:ind w:firstLine="0"/>
    </w:pPr>
    <w:rPr>
      <w:b/>
      <w:bCs/>
      <w:caps/>
      <w:szCs w:val="20"/>
    </w:rPr>
  </w:style>
  <w:style w:type="paragraph" w:styleId="Sumrio2">
    <w:name w:val="toc 2"/>
    <w:basedOn w:val="Normal"/>
    <w:next w:val="Normal"/>
    <w:autoRedefine/>
    <w:uiPriority w:val="39"/>
    <w:unhideWhenUsed/>
    <w:rsid w:val="001E50FF"/>
    <w:pPr>
      <w:ind w:left="238" w:firstLine="0"/>
    </w:pPr>
    <w:rPr>
      <w:caps/>
      <w:szCs w:val="20"/>
    </w:rPr>
  </w:style>
  <w:style w:type="paragraph" w:styleId="Sumrio3">
    <w:name w:val="toc 3"/>
    <w:basedOn w:val="Normal"/>
    <w:next w:val="Normal"/>
    <w:autoRedefine/>
    <w:uiPriority w:val="39"/>
    <w:unhideWhenUsed/>
    <w:rsid w:val="006C1123"/>
    <w:pPr>
      <w:ind w:left="482" w:firstLine="0"/>
    </w:pPr>
    <w:rPr>
      <w:iCs/>
      <w:szCs w:val="20"/>
    </w:rPr>
  </w:style>
  <w:style w:type="paragraph" w:styleId="Remissivo1">
    <w:name w:val="index 1"/>
    <w:basedOn w:val="Normal"/>
    <w:next w:val="Normal"/>
    <w:autoRedefine/>
    <w:uiPriority w:val="99"/>
    <w:semiHidden/>
    <w:unhideWhenUsed/>
    <w:rsid w:val="008F66E9"/>
    <w:pPr>
      <w:ind w:left="238" w:hanging="238"/>
    </w:pPr>
  </w:style>
  <w:style w:type="character" w:styleId="Refdecomentrio">
    <w:name w:val="annotation reference"/>
    <w:basedOn w:val="Fontepargpadro"/>
    <w:uiPriority w:val="99"/>
    <w:semiHidden/>
    <w:unhideWhenUsed/>
    <w:rsid w:val="00F314E1"/>
    <w:rPr>
      <w:sz w:val="16"/>
      <w:szCs w:val="16"/>
    </w:rPr>
  </w:style>
  <w:style w:type="paragraph" w:styleId="Textodecomentrio">
    <w:name w:val="annotation text"/>
    <w:basedOn w:val="Normal"/>
    <w:link w:val="TextodecomentrioChar"/>
    <w:uiPriority w:val="99"/>
    <w:semiHidden/>
    <w:unhideWhenUsed/>
    <w:rsid w:val="00F314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314E1"/>
    <w:rPr>
      <w:rFonts w:cstheme="minorBidi"/>
      <w:sz w:val="20"/>
      <w:szCs w:val="20"/>
    </w:rPr>
  </w:style>
  <w:style w:type="character" w:styleId="HiperlinkVisitado">
    <w:name w:val="FollowedHyperlink"/>
    <w:basedOn w:val="Fontepargpadro"/>
    <w:uiPriority w:val="99"/>
    <w:semiHidden/>
    <w:unhideWhenUsed/>
    <w:rsid w:val="005A3198"/>
    <w:rPr>
      <w:color w:val="954F72" w:themeColor="followedHyperlink"/>
      <w:u w:val="single"/>
    </w:rPr>
  </w:style>
  <w:style w:type="character" w:styleId="TtulodoLivro">
    <w:name w:val="Book Title"/>
    <w:basedOn w:val="Fontepargpadro"/>
    <w:uiPriority w:val="33"/>
    <w:rsid w:val="00276D76"/>
    <w:rPr>
      <w:b/>
      <w:bCs/>
      <w:i/>
      <w:iCs/>
      <w:spacing w:val="5"/>
    </w:rPr>
  </w:style>
  <w:style w:type="paragraph" w:styleId="Sumrio4">
    <w:name w:val="toc 4"/>
    <w:basedOn w:val="Normal"/>
    <w:next w:val="Normal"/>
    <w:autoRedefine/>
    <w:uiPriority w:val="39"/>
    <w:unhideWhenUsed/>
    <w:rsid w:val="001E50FF"/>
    <w:pPr>
      <w:ind w:left="720" w:firstLine="0"/>
    </w:pPr>
    <w:rPr>
      <w:szCs w:val="18"/>
    </w:rPr>
  </w:style>
  <w:style w:type="paragraph" w:styleId="Sumrio5">
    <w:name w:val="toc 5"/>
    <w:basedOn w:val="Normal"/>
    <w:next w:val="Normal"/>
    <w:autoRedefine/>
    <w:uiPriority w:val="39"/>
    <w:unhideWhenUsed/>
    <w:rsid w:val="005B3A0E"/>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5B3A0E"/>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5B3A0E"/>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5B3A0E"/>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5B3A0E"/>
    <w:pPr>
      <w:ind w:left="1920"/>
      <w:jc w:val="left"/>
    </w:pPr>
    <w:rPr>
      <w:rFonts w:asciiTheme="minorHAnsi" w:hAnsiTheme="minorHAnsi"/>
      <w:sz w:val="18"/>
      <w:szCs w:val="18"/>
    </w:rPr>
  </w:style>
  <w:style w:type="character" w:styleId="TextodoEspaoReservado">
    <w:name w:val="Placeholder Text"/>
    <w:basedOn w:val="Fontepargpadro"/>
    <w:uiPriority w:val="99"/>
    <w:semiHidden/>
    <w:rsid w:val="002A7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5645">
      <w:bodyDiv w:val="1"/>
      <w:marLeft w:val="0"/>
      <w:marRight w:val="0"/>
      <w:marTop w:val="0"/>
      <w:marBottom w:val="0"/>
      <w:divBdr>
        <w:top w:val="none" w:sz="0" w:space="0" w:color="auto"/>
        <w:left w:val="none" w:sz="0" w:space="0" w:color="auto"/>
        <w:bottom w:val="none" w:sz="0" w:space="0" w:color="auto"/>
        <w:right w:val="none" w:sz="0" w:space="0" w:color="auto"/>
      </w:divBdr>
    </w:div>
    <w:div w:id="33964500">
      <w:bodyDiv w:val="1"/>
      <w:marLeft w:val="0"/>
      <w:marRight w:val="0"/>
      <w:marTop w:val="0"/>
      <w:marBottom w:val="0"/>
      <w:divBdr>
        <w:top w:val="none" w:sz="0" w:space="0" w:color="auto"/>
        <w:left w:val="none" w:sz="0" w:space="0" w:color="auto"/>
        <w:bottom w:val="none" w:sz="0" w:space="0" w:color="auto"/>
        <w:right w:val="none" w:sz="0" w:space="0" w:color="auto"/>
      </w:divBdr>
    </w:div>
    <w:div w:id="51974321">
      <w:bodyDiv w:val="1"/>
      <w:marLeft w:val="0"/>
      <w:marRight w:val="0"/>
      <w:marTop w:val="0"/>
      <w:marBottom w:val="0"/>
      <w:divBdr>
        <w:top w:val="none" w:sz="0" w:space="0" w:color="auto"/>
        <w:left w:val="none" w:sz="0" w:space="0" w:color="auto"/>
        <w:bottom w:val="none" w:sz="0" w:space="0" w:color="auto"/>
        <w:right w:val="none" w:sz="0" w:space="0" w:color="auto"/>
      </w:divBdr>
    </w:div>
    <w:div w:id="57747973">
      <w:bodyDiv w:val="1"/>
      <w:marLeft w:val="0"/>
      <w:marRight w:val="0"/>
      <w:marTop w:val="0"/>
      <w:marBottom w:val="0"/>
      <w:divBdr>
        <w:top w:val="none" w:sz="0" w:space="0" w:color="auto"/>
        <w:left w:val="none" w:sz="0" w:space="0" w:color="auto"/>
        <w:bottom w:val="none" w:sz="0" w:space="0" w:color="auto"/>
        <w:right w:val="none" w:sz="0" w:space="0" w:color="auto"/>
      </w:divBdr>
    </w:div>
    <w:div w:id="167912420">
      <w:bodyDiv w:val="1"/>
      <w:marLeft w:val="0"/>
      <w:marRight w:val="0"/>
      <w:marTop w:val="0"/>
      <w:marBottom w:val="0"/>
      <w:divBdr>
        <w:top w:val="none" w:sz="0" w:space="0" w:color="auto"/>
        <w:left w:val="none" w:sz="0" w:space="0" w:color="auto"/>
        <w:bottom w:val="none" w:sz="0" w:space="0" w:color="auto"/>
        <w:right w:val="none" w:sz="0" w:space="0" w:color="auto"/>
      </w:divBdr>
    </w:div>
    <w:div w:id="265772805">
      <w:bodyDiv w:val="1"/>
      <w:marLeft w:val="0"/>
      <w:marRight w:val="0"/>
      <w:marTop w:val="0"/>
      <w:marBottom w:val="0"/>
      <w:divBdr>
        <w:top w:val="none" w:sz="0" w:space="0" w:color="auto"/>
        <w:left w:val="none" w:sz="0" w:space="0" w:color="auto"/>
        <w:bottom w:val="none" w:sz="0" w:space="0" w:color="auto"/>
        <w:right w:val="none" w:sz="0" w:space="0" w:color="auto"/>
      </w:divBdr>
    </w:div>
    <w:div w:id="267087361">
      <w:bodyDiv w:val="1"/>
      <w:marLeft w:val="0"/>
      <w:marRight w:val="0"/>
      <w:marTop w:val="0"/>
      <w:marBottom w:val="0"/>
      <w:divBdr>
        <w:top w:val="none" w:sz="0" w:space="0" w:color="auto"/>
        <w:left w:val="none" w:sz="0" w:space="0" w:color="auto"/>
        <w:bottom w:val="none" w:sz="0" w:space="0" w:color="auto"/>
        <w:right w:val="none" w:sz="0" w:space="0" w:color="auto"/>
      </w:divBdr>
    </w:div>
    <w:div w:id="277686684">
      <w:bodyDiv w:val="1"/>
      <w:marLeft w:val="0"/>
      <w:marRight w:val="0"/>
      <w:marTop w:val="0"/>
      <w:marBottom w:val="0"/>
      <w:divBdr>
        <w:top w:val="none" w:sz="0" w:space="0" w:color="auto"/>
        <w:left w:val="none" w:sz="0" w:space="0" w:color="auto"/>
        <w:bottom w:val="none" w:sz="0" w:space="0" w:color="auto"/>
        <w:right w:val="none" w:sz="0" w:space="0" w:color="auto"/>
      </w:divBdr>
    </w:div>
    <w:div w:id="335811668">
      <w:bodyDiv w:val="1"/>
      <w:marLeft w:val="0"/>
      <w:marRight w:val="0"/>
      <w:marTop w:val="0"/>
      <w:marBottom w:val="0"/>
      <w:divBdr>
        <w:top w:val="none" w:sz="0" w:space="0" w:color="auto"/>
        <w:left w:val="none" w:sz="0" w:space="0" w:color="auto"/>
        <w:bottom w:val="none" w:sz="0" w:space="0" w:color="auto"/>
        <w:right w:val="none" w:sz="0" w:space="0" w:color="auto"/>
      </w:divBdr>
    </w:div>
    <w:div w:id="369955816">
      <w:bodyDiv w:val="1"/>
      <w:marLeft w:val="0"/>
      <w:marRight w:val="0"/>
      <w:marTop w:val="0"/>
      <w:marBottom w:val="0"/>
      <w:divBdr>
        <w:top w:val="none" w:sz="0" w:space="0" w:color="auto"/>
        <w:left w:val="none" w:sz="0" w:space="0" w:color="auto"/>
        <w:bottom w:val="none" w:sz="0" w:space="0" w:color="auto"/>
        <w:right w:val="none" w:sz="0" w:space="0" w:color="auto"/>
      </w:divBdr>
    </w:div>
    <w:div w:id="397481670">
      <w:bodyDiv w:val="1"/>
      <w:marLeft w:val="0"/>
      <w:marRight w:val="0"/>
      <w:marTop w:val="0"/>
      <w:marBottom w:val="0"/>
      <w:divBdr>
        <w:top w:val="none" w:sz="0" w:space="0" w:color="auto"/>
        <w:left w:val="none" w:sz="0" w:space="0" w:color="auto"/>
        <w:bottom w:val="none" w:sz="0" w:space="0" w:color="auto"/>
        <w:right w:val="none" w:sz="0" w:space="0" w:color="auto"/>
      </w:divBdr>
    </w:div>
    <w:div w:id="475489807">
      <w:bodyDiv w:val="1"/>
      <w:marLeft w:val="0"/>
      <w:marRight w:val="0"/>
      <w:marTop w:val="0"/>
      <w:marBottom w:val="0"/>
      <w:divBdr>
        <w:top w:val="none" w:sz="0" w:space="0" w:color="auto"/>
        <w:left w:val="none" w:sz="0" w:space="0" w:color="auto"/>
        <w:bottom w:val="none" w:sz="0" w:space="0" w:color="auto"/>
        <w:right w:val="none" w:sz="0" w:space="0" w:color="auto"/>
      </w:divBdr>
    </w:div>
    <w:div w:id="502166101">
      <w:bodyDiv w:val="1"/>
      <w:marLeft w:val="0"/>
      <w:marRight w:val="0"/>
      <w:marTop w:val="0"/>
      <w:marBottom w:val="0"/>
      <w:divBdr>
        <w:top w:val="none" w:sz="0" w:space="0" w:color="auto"/>
        <w:left w:val="none" w:sz="0" w:space="0" w:color="auto"/>
        <w:bottom w:val="none" w:sz="0" w:space="0" w:color="auto"/>
        <w:right w:val="none" w:sz="0" w:space="0" w:color="auto"/>
      </w:divBdr>
    </w:div>
    <w:div w:id="551119564">
      <w:bodyDiv w:val="1"/>
      <w:marLeft w:val="0"/>
      <w:marRight w:val="0"/>
      <w:marTop w:val="0"/>
      <w:marBottom w:val="0"/>
      <w:divBdr>
        <w:top w:val="none" w:sz="0" w:space="0" w:color="auto"/>
        <w:left w:val="none" w:sz="0" w:space="0" w:color="auto"/>
        <w:bottom w:val="none" w:sz="0" w:space="0" w:color="auto"/>
        <w:right w:val="none" w:sz="0" w:space="0" w:color="auto"/>
      </w:divBdr>
    </w:div>
    <w:div w:id="563952574">
      <w:bodyDiv w:val="1"/>
      <w:marLeft w:val="0"/>
      <w:marRight w:val="0"/>
      <w:marTop w:val="0"/>
      <w:marBottom w:val="0"/>
      <w:divBdr>
        <w:top w:val="none" w:sz="0" w:space="0" w:color="auto"/>
        <w:left w:val="none" w:sz="0" w:space="0" w:color="auto"/>
        <w:bottom w:val="none" w:sz="0" w:space="0" w:color="auto"/>
        <w:right w:val="none" w:sz="0" w:space="0" w:color="auto"/>
      </w:divBdr>
    </w:div>
    <w:div w:id="565455768">
      <w:bodyDiv w:val="1"/>
      <w:marLeft w:val="0"/>
      <w:marRight w:val="0"/>
      <w:marTop w:val="0"/>
      <w:marBottom w:val="0"/>
      <w:divBdr>
        <w:top w:val="none" w:sz="0" w:space="0" w:color="auto"/>
        <w:left w:val="none" w:sz="0" w:space="0" w:color="auto"/>
        <w:bottom w:val="none" w:sz="0" w:space="0" w:color="auto"/>
        <w:right w:val="none" w:sz="0" w:space="0" w:color="auto"/>
      </w:divBdr>
    </w:div>
    <w:div w:id="604116731">
      <w:bodyDiv w:val="1"/>
      <w:marLeft w:val="0"/>
      <w:marRight w:val="0"/>
      <w:marTop w:val="0"/>
      <w:marBottom w:val="0"/>
      <w:divBdr>
        <w:top w:val="none" w:sz="0" w:space="0" w:color="auto"/>
        <w:left w:val="none" w:sz="0" w:space="0" w:color="auto"/>
        <w:bottom w:val="none" w:sz="0" w:space="0" w:color="auto"/>
        <w:right w:val="none" w:sz="0" w:space="0" w:color="auto"/>
      </w:divBdr>
    </w:div>
    <w:div w:id="701780869">
      <w:bodyDiv w:val="1"/>
      <w:marLeft w:val="0"/>
      <w:marRight w:val="0"/>
      <w:marTop w:val="0"/>
      <w:marBottom w:val="0"/>
      <w:divBdr>
        <w:top w:val="none" w:sz="0" w:space="0" w:color="auto"/>
        <w:left w:val="none" w:sz="0" w:space="0" w:color="auto"/>
        <w:bottom w:val="none" w:sz="0" w:space="0" w:color="auto"/>
        <w:right w:val="none" w:sz="0" w:space="0" w:color="auto"/>
      </w:divBdr>
    </w:div>
    <w:div w:id="726076012">
      <w:bodyDiv w:val="1"/>
      <w:marLeft w:val="0"/>
      <w:marRight w:val="0"/>
      <w:marTop w:val="0"/>
      <w:marBottom w:val="0"/>
      <w:divBdr>
        <w:top w:val="none" w:sz="0" w:space="0" w:color="auto"/>
        <w:left w:val="none" w:sz="0" w:space="0" w:color="auto"/>
        <w:bottom w:val="none" w:sz="0" w:space="0" w:color="auto"/>
        <w:right w:val="none" w:sz="0" w:space="0" w:color="auto"/>
      </w:divBdr>
    </w:div>
    <w:div w:id="747576762">
      <w:bodyDiv w:val="1"/>
      <w:marLeft w:val="0"/>
      <w:marRight w:val="0"/>
      <w:marTop w:val="0"/>
      <w:marBottom w:val="0"/>
      <w:divBdr>
        <w:top w:val="none" w:sz="0" w:space="0" w:color="auto"/>
        <w:left w:val="none" w:sz="0" w:space="0" w:color="auto"/>
        <w:bottom w:val="none" w:sz="0" w:space="0" w:color="auto"/>
        <w:right w:val="none" w:sz="0" w:space="0" w:color="auto"/>
      </w:divBdr>
    </w:div>
    <w:div w:id="752315246">
      <w:bodyDiv w:val="1"/>
      <w:marLeft w:val="0"/>
      <w:marRight w:val="0"/>
      <w:marTop w:val="0"/>
      <w:marBottom w:val="0"/>
      <w:divBdr>
        <w:top w:val="none" w:sz="0" w:space="0" w:color="auto"/>
        <w:left w:val="none" w:sz="0" w:space="0" w:color="auto"/>
        <w:bottom w:val="none" w:sz="0" w:space="0" w:color="auto"/>
        <w:right w:val="none" w:sz="0" w:space="0" w:color="auto"/>
      </w:divBdr>
    </w:div>
    <w:div w:id="829055682">
      <w:bodyDiv w:val="1"/>
      <w:marLeft w:val="0"/>
      <w:marRight w:val="0"/>
      <w:marTop w:val="0"/>
      <w:marBottom w:val="0"/>
      <w:divBdr>
        <w:top w:val="none" w:sz="0" w:space="0" w:color="auto"/>
        <w:left w:val="none" w:sz="0" w:space="0" w:color="auto"/>
        <w:bottom w:val="none" w:sz="0" w:space="0" w:color="auto"/>
        <w:right w:val="none" w:sz="0" w:space="0" w:color="auto"/>
      </w:divBdr>
    </w:div>
    <w:div w:id="875436478">
      <w:bodyDiv w:val="1"/>
      <w:marLeft w:val="0"/>
      <w:marRight w:val="0"/>
      <w:marTop w:val="0"/>
      <w:marBottom w:val="0"/>
      <w:divBdr>
        <w:top w:val="none" w:sz="0" w:space="0" w:color="auto"/>
        <w:left w:val="none" w:sz="0" w:space="0" w:color="auto"/>
        <w:bottom w:val="none" w:sz="0" w:space="0" w:color="auto"/>
        <w:right w:val="none" w:sz="0" w:space="0" w:color="auto"/>
      </w:divBdr>
    </w:div>
    <w:div w:id="892086808">
      <w:bodyDiv w:val="1"/>
      <w:marLeft w:val="0"/>
      <w:marRight w:val="0"/>
      <w:marTop w:val="0"/>
      <w:marBottom w:val="0"/>
      <w:divBdr>
        <w:top w:val="none" w:sz="0" w:space="0" w:color="auto"/>
        <w:left w:val="none" w:sz="0" w:space="0" w:color="auto"/>
        <w:bottom w:val="none" w:sz="0" w:space="0" w:color="auto"/>
        <w:right w:val="none" w:sz="0" w:space="0" w:color="auto"/>
      </w:divBdr>
    </w:div>
    <w:div w:id="902174956">
      <w:bodyDiv w:val="1"/>
      <w:marLeft w:val="0"/>
      <w:marRight w:val="0"/>
      <w:marTop w:val="0"/>
      <w:marBottom w:val="0"/>
      <w:divBdr>
        <w:top w:val="none" w:sz="0" w:space="0" w:color="auto"/>
        <w:left w:val="none" w:sz="0" w:space="0" w:color="auto"/>
        <w:bottom w:val="none" w:sz="0" w:space="0" w:color="auto"/>
        <w:right w:val="none" w:sz="0" w:space="0" w:color="auto"/>
      </w:divBdr>
    </w:div>
    <w:div w:id="909342092">
      <w:bodyDiv w:val="1"/>
      <w:marLeft w:val="0"/>
      <w:marRight w:val="0"/>
      <w:marTop w:val="0"/>
      <w:marBottom w:val="0"/>
      <w:divBdr>
        <w:top w:val="none" w:sz="0" w:space="0" w:color="auto"/>
        <w:left w:val="none" w:sz="0" w:space="0" w:color="auto"/>
        <w:bottom w:val="none" w:sz="0" w:space="0" w:color="auto"/>
        <w:right w:val="none" w:sz="0" w:space="0" w:color="auto"/>
      </w:divBdr>
      <w:divsChild>
        <w:div w:id="840314658">
          <w:marLeft w:val="547"/>
          <w:marRight w:val="0"/>
          <w:marTop w:val="0"/>
          <w:marBottom w:val="0"/>
          <w:divBdr>
            <w:top w:val="none" w:sz="0" w:space="0" w:color="auto"/>
            <w:left w:val="none" w:sz="0" w:space="0" w:color="auto"/>
            <w:bottom w:val="none" w:sz="0" w:space="0" w:color="auto"/>
            <w:right w:val="none" w:sz="0" w:space="0" w:color="auto"/>
          </w:divBdr>
        </w:div>
      </w:divsChild>
    </w:div>
    <w:div w:id="978457242">
      <w:bodyDiv w:val="1"/>
      <w:marLeft w:val="0"/>
      <w:marRight w:val="0"/>
      <w:marTop w:val="0"/>
      <w:marBottom w:val="0"/>
      <w:divBdr>
        <w:top w:val="none" w:sz="0" w:space="0" w:color="auto"/>
        <w:left w:val="none" w:sz="0" w:space="0" w:color="auto"/>
        <w:bottom w:val="none" w:sz="0" w:space="0" w:color="auto"/>
        <w:right w:val="none" w:sz="0" w:space="0" w:color="auto"/>
      </w:divBdr>
    </w:div>
    <w:div w:id="993296212">
      <w:bodyDiv w:val="1"/>
      <w:marLeft w:val="0"/>
      <w:marRight w:val="0"/>
      <w:marTop w:val="0"/>
      <w:marBottom w:val="0"/>
      <w:divBdr>
        <w:top w:val="none" w:sz="0" w:space="0" w:color="auto"/>
        <w:left w:val="none" w:sz="0" w:space="0" w:color="auto"/>
        <w:bottom w:val="none" w:sz="0" w:space="0" w:color="auto"/>
        <w:right w:val="none" w:sz="0" w:space="0" w:color="auto"/>
      </w:divBdr>
    </w:div>
    <w:div w:id="1059206952">
      <w:bodyDiv w:val="1"/>
      <w:marLeft w:val="0"/>
      <w:marRight w:val="0"/>
      <w:marTop w:val="0"/>
      <w:marBottom w:val="0"/>
      <w:divBdr>
        <w:top w:val="none" w:sz="0" w:space="0" w:color="auto"/>
        <w:left w:val="none" w:sz="0" w:space="0" w:color="auto"/>
        <w:bottom w:val="none" w:sz="0" w:space="0" w:color="auto"/>
        <w:right w:val="none" w:sz="0" w:space="0" w:color="auto"/>
      </w:divBdr>
    </w:div>
    <w:div w:id="1076319006">
      <w:bodyDiv w:val="1"/>
      <w:marLeft w:val="0"/>
      <w:marRight w:val="0"/>
      <w:marTop w:val="0"/>
      <w:marBottom w:val="0"/>
      <w:divBdr>
        <w:top w:val="none" w:sz="0" w:space="0" w:color="auto"/>
        <w:left w:val="none" w:sz="0" w:space="0" w:color="auto"/>
        <w:bottom w:val="none" w:sz="0" w:space="0" w:color="auto"/>
        <w:right w:val="none" w:sz="0" w:space="0" w:color="auto"/>
      </w:divBdr>
    </w:div>
    <w:div w:id="1079330800">
      <w:bodyDiv w:val="1"/>
      <w:marLeft w:val="0"/>
      <w:marRight w:val="0"/>
      <w:marTop w:val="0"/>
      <w:marBottom w:val="0"/>
      <w:divBdr>
        <w:top w:val="none" w:sz="0" w:space="0" w:color="auto"/>
        <w:left w:val="none" w:sz="0" w:space="0" w:color="auto"/>
        <w:bottom w:val="none" w:sz="0" w:space="0" w:color="auto"/>
        <w:right w:val="none" w:sz="0" w:space="0" w:color="auto"/>
      </w:divBdr>
    </w:div>
    <w:div w:id="1109467883">
      <w:bodyDiv w:val="1"/>
      <w:marLeft w:val="0"/>
      <w:marRight w:val="0"/>
      <w:marTop w:val="0"/>
      <w:marBottom w:val="0"/>
      <w:divBdr>
        <w:top w:val="none" w:sz="0" w:space="0" w:color="auto"/>
        <w:left w:val="none" w:sz="0" w:space="0" w:color="auto"/>
        <w:bottom w:val="none" w:sz="0" w:space="0" w:color="auto"/>
        <w:right w:val="none" w:sz="0" w:space="0" w:color="auto"/>
      </w:divBdr>
    </w:div>
    <w:div w:id="1289240439">
      <w:bodyDiv w:val="1"/>
      <w:marLeft w:val="0"/>
      <w:marRight w:val="0"/>
      <w:marTop w:val="0"/>
      <w:marBottom w:val="0"/>
      <w:divBdr>
        <w:top w:val="none" w:sz="0" w:space="0" w:color="auto"/>
        <w:left w:val="none" w:sz="0" w:space="0" w:color="auto"/>
        <w:bottom w:val="none" w:sz="0" w:space="0" w:color="auto"/>
        <w:right w:val="none" w:sz="0" w:space="0" w:color="auto"/>
      </w:divBdr>
    </w:div>
    <w:div w:id="1301689658">
      <w:bodyDiv w:val="1"/>
      <w:marLeft w:val="0"/>
      <w:marRight w:val="0"/>
      <w:marTop w:val="0"/>
      <w:marBottom w:val="0"/>
      <w:divBdr>
        <w:top w:val="none" w:sz="0" w:space="0" w:color="auto"/>
        <w:left w:val="none" w:sz="0" w:space="0" w:color="auto"/>
        <w:bottom w:val="none" w:sz="0" w:space="0" w:color="auto"/>
        <w:right w:val="none" w:sz="0" w:space="0" w:color="auto"/>
      </w:divBdr>
    </w:div>
    <w:div w:id="1306280572">
      <w:bodyDiv w:val="1"/>
      <w:marLeft w:val="0"/>
      <w:marRight w:val="0"/>
      <w:marTop w:val="0"/>
      <w:marBottom w:val="0"/>
      <w:divBdr>
        <w:top w:val="none" w:sz="0" w:space="0" w:color="auto"/>
        <w:left w:val="none" w:sz="0" w:space="0" w:color="auto"/>
        <w:bottom w:val="none" w:sz="0" w:space="0" w:color="auto"/>
        <w:right w:val="none" w:sz="0" w:space="0" w:color="auto"/>
      </w:divBdr>
    </w:div>
    <w:div w:id="1359506072">
      <w:bodyDiv w:val="1"/>
      <w:marLeft w:val="0"/>
      <w:marRight w:val="0"/>
      <w:marTop w:val="0"/>
      <w:marBottom w:val="0"/>
      <w:divBdr>
        <w:top w:val="none" w:sz="0" w:space="0" w:color="auto"/>
        <w:left w:val="none" w:sz="0" w:space="0" w:color="auto"/>
        <w:bottom w:val="none" w:sz="0" w:space="0" w:color="auto"/>
        <w:right w:val="none" w:sz="0" w:space="0" w:color="auto"/>
      </w:divBdr>
    </w:div>
    <w:div w:id="1397896376">
      <w:bodyDiv w:val="1"/>
      <w:marLeft w:val="0"/>
      <w:marRight w:val="0"/>
      <w:marTop w:val="0"/>
      <w:marBottom w:val="0"/>
      <w:divBdr>
        <w:top w:val="none" w:sz="0" w:space="0" w:color="auto"/>
        <w:left w:val="none" w:sz="0" w:space="0" w:color="auto"/>
        <w:bottom w:val="none" w:sz="0" w:space="0" w:color="auto"/>
        <w:right w:val="none" w:sz="0" w:space="0" w:color="auto"/>
      </w:divBdr>
    </w:div>
    <w:div w:id="1429350164">
      <w:bodyDiv w:val="1"/>
      <w:marLeft w:val="0"/>
      <w:marRight w:val="0"/>
      <w:marTop w:val="0"/>
      <w:marBottom w:val="0"/>
      <w:divBdr>
        <w:top w:val="none" w:sz="0" w:space="0" w:color="auto"/>
        <w:left w:val="none" w:sz="0" w:space="0" w:color="auto"/>
        <w:bottom w:val="none" w:sz="0" w:space="0" w:color="auto"/>
        <w:right w:val="none" w:sz="0" w:space="0" w:color="auto"/>
      </w:divBdr>
    </w:div>
    <w:div w:id="1478306111">
      <w:bodyDiv w:val="1"/>
      <w:marLeft w:val="0"/>
      <w:marRight w:val="0"/>
      <w:marTop w:val="0"/>
      <w:marBottom w:val="0"/>
      <w:divBdr>
        <w:top w:val="none" w:sz="0" w:space="0" w:color="auto"/>
        <w:left w:val="none" w:sz="0" w:space="0" w:color="auto"/>
        <w:bottom w:val="none" w:sz="0" w:space="0" w:color="auto"/>
        <w:right w:val="none" w:sz="0" w:space="0" w:color="auto"/>
      </w:divBdr>
    </w:div>
    <w:div w:id="1549758110">
      <w:bodyDiv w:val="1"/>
      <w:marLeft w:val="0"/>
      <w:marRight w:val="0"/>
      <w:marTop w:val="0"/>
      <w:marBottom w:val="0"/>
      <w:divBdr>
        <w:top w:val="none" w:sz="0" w:space="0" w:color="auto"/>
        <w:left w:val="none" w:sz="0" w:space="0" w:color="auto"/>
        <w:bottom w:val="none" w:sz="0" w:space="0" w:color="auto"/>
        <w:right w:val="none" w:sz="0" w:space="0" w:color="auto"/>
      </w:divBdr>
    </w:div>
    <w:div w:id="1620606295">
      <w:bodyDiv w:val="1"/>
      <w:marLeft w:val="0"/>
      <w:marRight w:val="0"/>
      <w:marTop w:val="0"/>
      <w:marBottom w:val="0"/>
      <w:divBdr>
        <w:top w:val="none" w:sz="0" w:space="0" w:color="auto"/>
        <w:left w:val="none" w:sz="0" w:space="0" w:color="auto"/>
        <w:bottom w:val="none" w:sz="0" w:space="0" w:color="auto"/>
        <w:right w:val="none" w:sz="0" w:space="0" w:color="auto"/>
      </w:divBdr>
    </w:div>
    <w:div w:id="1630817840">
      <w:bodyDiv w:val="1"/>
      <w:marLeft w:val="0"/>
      <w:marRight w:val="0"/>
      <w:marTop w:val="0"/>
      <w:marBottom w:val="0"/>
      <w:divBdr>
        <w:top w:val="none" w:sz="0" w:space="0" w:color="auto"/>
        <w:left w:val="none" w:sz="0" w:space="0" w:color="auto"/>
        <w:bottom w:val="none" w:sz="0" w:space="0" w:color="auto"/>
        <w:right w:val="none" w:sz="0" w:space="0" w:color="auto"/>
      </w:divBdr>
    </w:div>
    <w:div w:id="1648392830">
      <w:bodyDiv w:val="1"/>
      <w:marLeft w:val="0"/>
      <w:marRight w:val="0"/>
      <w:marTop w:val="0"/>
      <w:marBottom w:val="0"/>
      <w:divBdr>
        <w:top w:val="none" w:sz="0" w:space="0" w:color="auto"/>
        <w:left w:val="none" w:sz="0" w:space="0" w:color="auto"/>
        <w:bottom w:val="none" w:sz="0" w:space="0" w:color="auto"/>
        <w:right w:val="none" w:sz="0" w:space="0" w:color="auto"/>
      </w:divBdr>
      <w:divsChild>
        <w:div w:id="346449644">
          <w:marLeft w:val="0"/>
          <w:marRight w:val="0"/>
          <w:marTop w:val="0"/>
          <w:marBottom w:val="0"/>
          <w:divBdr>
            <w:top w:val="none" w:sz="0" w:space="0" w:color="auto"/>
            <w:left w:val="none" w:sz="0" w:space="0" w:color="auto"/>
            <w:bottom w:val="none" w:sz="0" w:space="0" w:color="auto"/>
            <w:right w:val="none" w:sz="0" w:space="0" w:color="auto"/>
          </w:divBdr>
          <w:divsChild>
            <w:div w:id="721369321">
              <w:marLeft w:val="0"/>
              <w:marRight w:val="0"/>
              <w:marTop w:val="0"/>
              <w:marBottom w:val="0"/>
              <w:divBdr>
                <w:top w:val="none" w:sz="0" w:space="0" w:color="auto"/>
                <w:left w:val="none" w:sz="0" w:space="0" w:color="auto"/>
                <w:bottom w:val="none" w:sz="0" w:space="0" w:color="auto"/>
                <w:right w:val="none" w:sz="0" w:space="0" w:color="auto"/>
              </w:divBdr>
              <w:divsChild>
                <w:div w:id="1370951114">
                  <w:marLeft w:val="0"/>
                  <w:marRight w:val="0"/>
                  <w:marTop w:val="0"/>
                  <w:marBottom w:val="0"/>
                  <w:divBdr>
                    <w:top w:val="none" w:sz="0" w:space="0" w:color="auto"/>
                    <w:left w:val="none" w:sz="0" w:space="0" w:color="auto"/>
                    <w:bottom w:val="none" w:sz="0" w:space="0" w:color="auto"/>
                    <w:right w:val="none" w:sz="0" w:space="0" w:color="auto"/>
                  </w:divBdr>
                  <w:divsChild>
                    <w:div w:id="2048942048">
                      <w:marLeft w:val="0"/>
                      <w:marRight w:val="0"/>
                      <w:marTop w:val="0"/>
                      <w:marBottom w:val="0"/>
                      <w:divBdr>
                        <w:top w:val="none" w:sz="0" w:space="0" w:color="auto"/>
                        <w:left w:val="none" w:sz="0" w:space="0" w:color="auto"/>
                        <w:bottom w:val="none" w:sz="0" w:space="0" w:color="auto"/>
                        <w:right w:val="none" w:sz="0" w:space="0" w:color="auto"/>
                      </w:divBdr>
                      <w:divsChild>
                        <w:div w:id="1095247700">
                          <w:marLeft w:val="0"/>
                          <w:marRight w:val="0"/>
                          <w:marTop w:val="0"/>
                          <w:marBottom w:val="0"/>
                          <w:divBdr>
                            <w:top w:val="none" w:sz="0" w:space="0" w:color="auto"/>
                            <w:left w:val="none" w:sz="0" w:space="0" w:color="auto"/>
                            <w:bottom w:val="none" w:sz="0" w:space="0" w:color="auto"/>
                            <w:right w:val="none" w:sz="0" w:space="0" w:color="auto"/>
                          </w:divBdr>
                          <w:divsChild>
                            <w:div w:id="1861775820">
                              <w:marLeft w:val="0"/>
                              <w:marRight w:val="0"/>
                              <w:marTop w:val="0"/>
                              <w:marBottom w:val="0"/>
                              <w:divBdr>
                                <w:top w:val="none" w:sz="0" w:space="0" w:color="auto"/>
                                <w:left w:val="none" w:sz="0" w:space="0" w:color="auto"/>
                                <w:bottom w:val="none" w:sz="0" w:space="0" w:color="auto"/>
                                <w:right w:val="none" w:sz="0" w:space="0" w:color="auto"/>
                              </w:divBdr>
                              <w:divsChild>
                                <w:div w:id="1799687001">
                                  <w:marLeft w:val="0"/>
                                  <w:marRight w:val="0"/>
                                  <w:marTop w:val="0"/>
                                  <w:marBottom w:val="0"/>
                                  <w:divBdr>
                                    <w:top w:val="none" w:sz="0" w:space="0" w:color="auto"/>
                                    <w:left w:val="none" w:sz="0" w:space="0" w:color="auto"/>
                                    <w:bottom w:val="none" w:sz="0" w:space="0" w:color="auto"/>
                                    <w:right w:val="none" w:sz="0" w:space="0" w:color="auto"/>
                                  </w:divBdr>
                                  <w:divsChild>
                                    <w:div w:id="1374305566">
                                      <w:marLeft w:val="0"/>
                                      <w:marRight w:val="0"/>
                                      <w:marTop w:val="0"/>
                                      <w:marBottom w:val="0"/>
                                      <w:divBdr>
                                        <w:top w:val="none" w:sz="0" w:space="0" w:color="auto"/>
                                        <w:left w:val="none" w:sz="0" w:space="0" w:color="auto"/>
                                        <w:bottom w:val="none" w:sz="0" w:space="0" w:color="auto"/>
                                        <w:right w:val="none" w:sz="0" w:space="0" w:color="auto"/>
                                      </w:divBdr>
                                      <w:divsChild>
                                        <w:div w:id="1868173262">
                                          <w:marLeft w:val="0"/>
                                          <w:marRight w:val="0"/>
                                          <w:marTop w:val="0"/>
                                          <w:marBottom w:val="0"/>
                                          <w:divBdr>
                                            <w:top w:val="none" w:sz="0" w:space="0" w:color="auto"/>
                                            <w:left w:val="none" w:sz="0" w:space="0" w:color="auto"/>
                                            <w:bottom w:val="none" w:sz="0" w:space="0" w:color="auto"/>
                                            <w:right w:val="none" w:sz="0" w:space="0" w:color="auto"/>
                                          </w:divBdr>
                                          <w:divsChild>
                                            <w:div w:id="1315067608">
                                              <w:marLeft w:val="0"/>
                                              <w:marRight w:val="0"/>
                                              <w:marTop w:val="0"/>
                                              <w:marBottom w:val="0"/>
                                              <w:divBdr>
                                                <w:top w:val="none" w:sz="0" w:space="0" w:color="auto"/>
                                                <w:left w:val="none" w:sz="0" w:space="0" w:color="auto"/>
                                                <w:bottom w:val="none" w:sz="0" w:space="0" w:color="auto"/>
                                                <w:right w:val="none" w:sz="0" w:space="0" w:color="auto"/>
                                              </w:divBdr>
                                              <w:divsChild>
                                                <w:div w:id="1731610687">
                                                  <w:marLeft w:val="0"/>
                                                  <w:marRight w:val="0"/>
                                                  <w:marTop w:val="0"/>
                                                  <w:marBottom w:val="0"/>
                                                  <w:divBdr>
                                                    <w:top w:val="none" w:sz="0" w:space="0" w:color="auto"/>
                                                    <w:left w:val="none" w:sz="0" w:space="0" w:color="auto"/>
                                                    <w:bottom w:val="none" w:sz="0" w:space="0" w:color="auto"/>
                                                    <w:right w:val="none" w:sz="0" w:space="0" w:color="auto"/>
                                                  </w:divBdr>
                                                  <w:divsChild>
                                                    <w:div w:id="1078483470">
                                                      <w:marLeft w:val="0"/>
                                                      <w:marRight w:val="0"/>
                                                      <w:marTop w:val="0"/>
                                                      <w:marBottom w:val="0"/>
                                                      <w:divBdr>
                                                        <w:top w:val="none" w:sz="0" w:space="0" w:color="auto"/>
                                                        <w:left w:val="none" w:sz="0" w:space="0" w:color="auto"/>
                                                        <w:bottom w:val="none" w:sz="0" w:space="0" w:color="auto"/>
                                                        <w:right w:val="none" w:sz="0" w:space="0" w:color="auto"/>
                                                      </w:divBdr>
                                                      <w:divsChild>
                                                        <w:div w:id="124322944">
                                                          <w:marLeft w:val="0"/>
                                                          <w:marRight w:val="0"/>
                                                          <w:marTop w:val="0"/>
                                                          <w:marBottom w:val="0"/>
                                                          <w:divBdr>
                                                            <w:top w:val="none" w:sz="0" w:space="0" w:color="auto"/>
                                                            <w:left w:val="none" w:sz="0" w:space="0" w:color="auto"/>
                                                            <w:bottom w:val="none" w:sz="0" w:space="0" w:color="auto"/>
                                                            <w:right w:val="none" w:sz="0" w:space="0" w:color="auto"/>
                                                          </w:divBdr>
                                                          <w:divsChild>
                                                            <w:div w:id="1724789397">
                                                              <w:marLeft w:val="0"/>
                                                              <w:marRight w:val="0"/>
                                                              <w:marTop w:val="0"/>
                                                              <w:marBottom w:val="0"/>
                                                              <w:divBdr>
                                                                <w:top w:val="none" w:sz="0" w:space="0" w:color="auto"/>
                                                                <w:left w:val="none" w:sz="0" w:space="0" w:color="auto"/>
                                                                <w:bottom w:val="none" w:sz="0" w:space="0" w:color="auto"/>
                                                                <w:right w:val="none" w:sz="0" w:space="0" w:color="auto"/>
                                                              </w:divBdr>
                                                              <w:divsChild>
                                                                <w:div w:id="75395903">
                                                                  <w:marLeft w:val="0"/>
                                                                  <w:marRight w:val="0"/>
                                                                  <w:marTop w:val="0"/>
                                                                  <w:marBottom w:val="0"/>
                                                                  <w:divBdr>
                                                                    <w:top w:val="none" w:sz="0" w:space="0" w:color="auto"/>
                                                                    <w:left w:val="none" w:sz="0" w:space="0" w:color="auto"/>
                                                                    <w:bottom w:val="none" w:sz="0" w:space="0" w:color="auto"/>
                                                                    <w:right w:val="none" w:sz="0" w:space="0" w:color="auto"/>
                                                                  </w:divBdr>
                                                                  <w:divsChild>
                                                                    <w:div w:id="1742949872">
                                                                      <w:marLeft w:val="0"/>
                                                                      <w:marRight w:val="0"/>
                                                                      <w:marTop w:val="0"/>
                                                                      <w:marBottom w:val="0"/>
                                                                      <w:divBdr>
                                                                        <w:top w:val="none" w:sz="0" w:space="0" w:color="auto"/>
                                                                        <w:left w:val="none" w:sz="0" w:space="0" w:color="auto"/>
                                                                        <w:bottom w:val="none" w:sz="0" w:space="0" w:color="auto"/>
                                                                        <w:right w:val="none" w:sz="0" w:space="0" w:color="auto"/>
                                                                      </w:divBdr>
                                                                      <w:divsChild>
                                                                        <w:div w:id="1797747430">
                                                                          <w:marLeft w:val="0"/>
                                                                          <w:marRight w:val="0"/>
                                                                          <w:marTop w:val="0"/>
                                                                          <w:marBottom w:val="0"/>
                                                                          <w:divBdr>
                                                                            <w:top w:val="none" w:sz="0" w:space="0" w:color="auto"/>
                                                                            <w:left w:val="none" w:sz="0" w:space="0" w:color="auto"/>
                                                                            <w:bottom w:val="none" w:sz="0" w:space="0" w:color="auto"/>
                                                                            <w:right w:val="none" w:sz="0" w:space="0" w:color="auto"/>
                                                                          </w:divBdr>
                                                                          <w:divsChild>
                                                                            <w:div w:id="79067958">
                                                                              <w:marLeft w:val="0"/>
                                                                              <w:marRight w:val="0"/>
                                                                              <w:marTop w:val="0"/>
                                                                              <w:marBottom w:val="0"/>
                                                                              <w:divBdr>
                                                                                <w:top w:val="none" w:sz="0" w:space="0" w:color="auto"/>
                                                                                <w:left w:val="none" w:sz="0" w:space="0" w:color="auto"/>
                                                                                <w:bottom w:val="none" w:sz="0" w:space="0" w:color="auto"/>
                                                                                <w:right w:val="none" w:sz="0" w:space="0" w:color="auto"/>
                                                                              </w:divBdr>
                                                                              <w:divsChild>
                                                                                <w:div w:id="2042238790">
                                                                                  <w:marLeft w:val="0"/>
                                                                                  <w:marRight w:val="0"/>
                                                                                  <w:marTop w:val="0"/>
                                                                                  <w:marBottom w:val="0"/>
                                                                                  <w:divBdr>
                                                                                    <w:top w:val="none" w:sz="0" w:space="0" w:color="auto"/>
                                                                                    <w:left w:val="none" w:sz="0" w:space="0" w:color="auto"/>
                                                                                    <w:bottom w:val="none" w:sz="0" w:space="0" w:color="auto"/>
                                                                                    <w:right w:val="none" w:sz="0" w:space="0" w:color="auto"/>
                                                                                  </w:divBdr>
                                                                                  <w:divsChild>
                                                                                    <w:div w:id="842668584">
                                                                                      <w:marLeft w:val="0"/>
                                                                                      <w:marRight w:val="0"/>
                                                                                      <w:marTop w:val="0"/>
                                                                                      <w:marBottom w:val="0"/>
                                                                                      <w:divBdr>
                                                                                        <w:top w:val="none" w:sz="0" w:space="0" w:color="auto"/>
                                                                                        <w:left w:val="none" w:sz="0" w:space="0" w:color="auto"/>
                                                                                        <w:bottom w:val="none" w:sz="0" w:space="0" w:color="auto"/>
                                                                                        <w:right w:val="none" w:sz="0" w:space="0" w:color="auto"/>
                                                                                      </w:divBdr>
                                                                                      <w:divsChild>
                                                                                        <w:div w:id="301542111">
                                                                                          <w:marLeft w:val="0"/>
                                                                                          <w:marRight w:val="0"/>
                                                                                          <w:marTop w:val="0"/>
                                                                                          <w:marBottom w:val="0"/>
                                                                                          <w:divBdr>
                                                                                            <w:top w:val="none" w:sz="0" w:space="0" w:color="auto"/>
                                                                                            <w:left w:val="none" w:sz="0" w:space="0" w:color="auto"/>
                                                                                            <w:bottom w:val="none" w:sz="0" w:space="0" w:color="auto"/>
                                                                                            <w:right w:val="none" w:sz="0" w:space="0" w:color="auto"/>
                                                                                          </w:divBdr>
                                                                                          <w:divsChild>
                                                                                            <w:div w:id="1390347906">
                                                                                              <w:marLeft w:val="0"/>
                                                                                              <w:marRight w:val="0"/>
                                                                                              <w:marTop w:val="0"/>
                                                                                              <w:marBottom w:val="0"/>
                                                                                              <w:divBdr>
                                                                                                <w:top w:val="none" w:sz="0" w:space="0" w:color="auto"/>
                                                                                                <w:left w:val="none" w:sz="0" w:space="0" w:color="auto"/>
                                                                                                <w:bottom w:val="none" w:sz="0" w:space="0" w:color="auto"/>
                                                                                                <w:right w:val="none" w:sz="0" w:space="0" w:color="auto"/>
                                                                                              </w:divBdr>
                                                                                              <w:divsChild>
                                                                                                <w:div w:id="510754091">
                                                                                                  <w:marLeft w:val="0"/>
                                                                                                  <w:marRight w:val="0"/>
                                                                                                  <w:marTop w:val="0"/>
                                                                                                  <w:marBottom w:val="0"/>
                                                                                                  <w:divBdr>
                                                                                                    <w:top w:val="none" w:sz="0" w:space="0" w:color="auto"/>
                                                                                                    <w:left w:val="none" w:sz="0" w:space="0" w:color="auto"/>
                                                                                                    <w:bottom w:val="none" w:sz="0" w:space="0" w:color="auto"/>
                                                                                                    <w:right w:val="none" w:sz="0" w:space="0" w:color="auto"/>
                                                                                                  </w:divBdr>
                                                                                                  <w:divsChild>
                                                                                                    <w:div w:id="1480687198">
                                                                                                      <w:marLeft w:val="0"/>
                                                                                                      <w:marRight w:val="0"/>
                                                                                                      <w:marTop w:val="0"/>
                                                                                                      <w:marBottom w:val="0"/>
                                                                                                      <w:divBdr>
                                                                                                        <w:top w:val="none" w:sz="0" w:space="0" w:color="auto"/>
                                                                                                        <w:left w:val="none" w:sz="0" w:space="0" w:color="auto"/>
                                                                                                        <w:bottom w:val="none" w:sz="0" w:space="0" w:color="auto"/>
                                                                                                        <w:right w:val="none" w:sz="0" w:space="0" w:color="auto"/>
                                                                                                      </w:divBdr>
                                                                                                      <w:divsChild>
                                                                                                        <w:div w:id="465780268">
                                                                                                          <w:marLeft w:val="0"/>
                                                                                                          <w:marRight w:val="0"/>
                                                                                                          <w:marTop w:val="0"/>
                                                                                                          <w:marBottom w:val="0"/>
                                                                                                          <w:divBdr>
                                                                                                            <w:top w:val="none" w:sz="0" w:space="0" w:color="auto"/>
                                                                                                            <w:left w:val="none" w:sz="0" w:space="0" w:color="auto"/>
                                                                                                            <w:bottom w:val="none" w:sz="0" w:space="0" w:color="auto"/>
                                                                                                            <w:right w:val="none" w:sz="0" w:space="0" w:color="auto"/>
                                                                                                          </w:divBdr>
                                                                                                          <w:divsChild>
                                                                                                            <w:div w:id="257834653">
                                                                                                              <w:marLeft w:val="0"/>
                                                                                                              <w:marRight w:val="0"/>
                                                                                                              <w:marTop w:val="0"/>
                                                                                                              <w:marBottom w:val="0"/>
                                                                                                              <w:divBdr>
                                                                                                                <w:top w:val="none" w:sz="0" w:space="0" w:color="auto"/>
                                                                                                                <w:left w:val="none" w:sz="0" w:space="0" w:color="auto"/>
                                                                                                                <w:bottom w:val="none" w:sz="0" w:space="0" w:color="auto"/>
                                                                                                                <w:right w:val="none" w:sz="0" w:space="0" w:color="auto"/>
                                                                                                              </w:divBdr>
                                                                                                              <w:divsChild>
                                                                                                                <w:div w:id="8651228">
                                                                                                                  <w:marLeft w:val="0"/>
                                                                                                                  <w:marRight w:val="0"/>
                                                                                                                  <w:marTop w:val="0"/>
                                                                                                                  <w:marBottom w:val="0"/>
                                                                                                                  <w:divBdr>
                                                                                                                    <w:top w:val="none" w:sz="0" w:space="0" w:color="auto"/>
                                                                                                                    <w:left w:val="none" w:sz="0" w:space="0" w:color="auto"/>
                                                                                                                    <w:bottom w:val="none" w:sz="0" w:space="0" w:color="auto"/>
                                                                                                                    <w:right w:val="none" w:sz="0" w:space="0" w:color="auto"/>
                                                                                                                  </w:divBdr>
                                                                                                                  <w:divsChild>
                                                                                                                    <w:div w:id="1571235618">
                                                                                                                      <w:marLeft w:val="0"/>
                                                                                                                      <w:marRight w:val="0"/>
                                                                                                                      <w:marTop w:val="0"/>
                                                                                                                      <w:marBottom w:val="0"/>
                                                                                                                      <w:divBdr>
                                                                                                                        <w:top w:val="none" w:sz="0" w:space="0" w:color="auto"/>
                                                                                                                        <w:left w:val="none" w:sz="0" w:space="0" w:color="auto"/>
                                                                                                                        <w:bottom w:val="none" w:sz="0" w:space="0" w:color="auto"/>
                                                                                                                        <w:right w:val="none" w:sz="0" w:space="0" w:color="auto"/>
                                                                                                                      </w:divBdr>
                                                                                                                      <w:divsChild>
                                                                                                                        <w:div w:id="459107375">
                                                                                                                          <w:marLeft w:val="0"/>
                                                                                                                          <w:marRight w:val="0"/>
                                                                                                                          <w:marTop w:val="0"/>
                                                                                                                          <w:marBottom w:val="0"/>
                                                                                                                          <w:divBdr>
                                                                                                                            <w:top w:val="none" w:sz="0" w:space="0" w:color="auto"/>
                                                                                                                            <w:left w:val="none" w:sz="0" w:space="0" w:color="auto"/>
                                                                                                                            <w:bottom w:val="none" w:sz="0" w:space="0" w:color="auto"/>
                                                                                                                            <w:right w:val="none" w:sz="0" w:space="0" w:color="auto"/>
                                                                                                                          </w:divBdr>
                                                                                                                          <w:divsChild>
                                                                                                                            <w:div w:id="1708070217">
                                                                                                                              <w:marLeft w:val="0"/>
                                                                                                                              <w:marRight w:val="0"/>
                                                                                                                              <w:marTop w:val="0"/>
                                                                                                                              <w:marBottom w:val="0"/>
                                                                                                                              <w:divBdr>
                                                                                                                                <w:top w:val="none" w:sz="0" w:space="0" w:color="auto"/>
                                                                                                                                <w:left w:val="none" w:sz="0" w:space="0" w:color="auto"/>
                                                                                                                                <w:bottom w:val="none" w:sz="0" w:space="0" w:color="auto"/>
                                                                                                                                <w:right w:val="none" w:sz="0" w:space="0" w:color="auto"/>
                                                                                                                              </w:divBdr>
                                                                                                                              <w:divsChild>
                                                                                                                                <w:div w:id="61101586">
                                                                                                                                  <w:marLeft w:val="0"/>
                                                                                                                                  <w:marRight w:val="0"/>
                                                                                                                                  <w:marTop w:val="0"/>
                                                                                                                                  <w:marBottom w:val="0"/>
                                                                                                                                  <w:divBdr>
                                                                                                                                    <w:top w:val="none" w:sz="0" w:space="0" w:color="auto"/>
                                                                                                                                    <w:left w:val="none" w:sz="0" w:space="0" w:color="auto"/>
                                                                                                                                    <w:bottom w:val="none" w:sz="0" w:space="0" w:color="auto"/>
                                                                                                                                    <w:right w:val="none" w:sz="0" w:space="0" w:color="auto"/>
                                                                                                                                  </w:divBdr>
                                                                                                                                  <w:divsChild>
                                                                                                                                    <w:div w:id="332686211">
                                                                                                                                      <w:marLeft w:val="0"/>
                                                                                                                                      <w:marRight w:val="0"/>
                                                                                                                                      <w:marTop w:val="0"/>
                                                                                                                                      <w:marBottom w:val="0"/>
                                                                                                                                      <w:divBdr>
                                                                                                                                        <w:top w:val="none" w:sz="0" w:space="0" w:color="auto"/>
                                                                                                                                        <w:left w:val="none" w:sz="0" w:space="0" w:color="auto"/>
                                                                                                                                        <w:bottom w:val="none" w:sz="0" w:space="0" w:color="auto"/>
                                                                                                                                        <w:right w:val="none" w:sz="0" w:space="0" w:color="auto"/>
                                                                                                                                      </w:divBdr>
                                                                                                                                      <w:divsChild>
                                                                                                                                        <w:div w:id="313533980">
                                                                                                                                          <w:marLeft w:val="0"/>
                                                                                                                                          <w:marRight w:val="0"/>
                                                                                                                                          <w:marTop w:val="0"/>
                                                                                                                                          <w:marBottom w:val="0"/>
                                                                                                                                          <w:divBdr>
                                                                                                                                            <w:top w:val="none" w:sz="0" w:space="0" w:color="auto"/>
                                                                                                                                            <w:left w:val="none" w:sz="0" w:space="0" w:color="auto"/>
                                                                                                                                            <w:bottom w:val="none" w:sz="0" w:space="0" w:color="auto"/>
                                                                                                                                            <w:right w:val="none" w:sz="0" w:space="0" w:color="auto"/>
                                                                                                                                          </w:divBdr>
                                                                                                                                          <w:divsChild>
                                                                                                                                            <w:div w:id="207306741">
                                                                                                                                              <w:marLeft w:val="0"/>
                                                                                                                                              <w:marRight w:val="0"/>
                                                                                                                                              <w:marTop w:val="0"/>
                                                                                                                                              <w:marBottom w:val="0"/>
                                                                                                                                              <w:divBdr>
                                                                                                                                                <w:top w:val="none" w:sz="0" w:space="0" w:color="auto"/>
                                                                                                                                                <w:left w:val="none" w:sz="0" w:space="0" w:color="auto"/>
                                                                                                                                                <w:bottom w:val="none" w:sz="0" w:space="0" w:color="auto"/>
                                                                                                                                                <w:right w:val="none" w:sz="0" w:space="0" w:color="auto"/>
                                                                                                                                              </w:divBdr>
                                                                                                                                              <w:divsChild>
                                                                                                                                                <w:div w:id="1609006720">
                                                                                                                                                  <w:marLeft w:val="0"/>
                                                                                                                                                  <w:marRight w:val="0"/>
                                                                                                                                                  <w:marTop w:val="0"/>
                                                                                                                                                  <w:marBottom w:val="0"/>
                                                                                                                                                  <w:divBdr>
                                                                                                                                                    <w:top w:val="none" w:sz="0" w:space="0" w:color="auto"/>
                                                                                                                                                    <w:left w:val="none" w:sz="0" w:space="0" w:color="auto"/>
                                                                                                                                                    <w:bottom w:val="none" w:sz="0" w:space="0" w:color="auto"/>
                                                                                                                                                    <w:right w:val="none" w:sz="0" w:space="0" w:color="auto"/>
                                                                                                                                                  </w:divBdr>
                                                                                                                                                  <w:divsChild>
                                                                                                                                                    <w:div w:id="502621673">
                                                                                                                                                      <w:marLeft w:val="0"/>
                                                                                                                                                      <w:marRight w:val="0"/>
                                                                                                                                                      <w:marTop w:val="0"/>
                                                                                                                                                      <w:marBottom w:val="0"/>
                                                                                                                                                      <w:divBdr>
                                                                                                                                                        <w:top w:val="none" w:sz="0" w:space="0" w:color="auto"/>
                                                                                                                                                        <w:left w:val="none" w:sz="0" w:space="0" w:color="auto"/>
                                                                                                                                                        <w:bottom w:val="none" w:sz="0" w:space="0" w:color="auto"/>
                                                                                                                                                        <w:right w:val="none" w:sz="0" w:space="0" w:color="auto"/>
                                                                                                                                                      </w:divBdr>
                                                                                                                                                      <w:divsChild>
                                                                                                                                                        <w:div w:id="8330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9471477">
      <w:bodyDiv w:val="1"/>
      <w:marLeft w:val="0"/>
      <w:marRight w:val="0"/>
      <w:marTop w:val="0"/>
      <w:marBottom w:val="0"/>
      <w:divBdr>
        <w:top w:val="none" w:sz="0" w:space="0" w:color="auto"/>
        <w:left w:val="none" w:sz="0" w:space="0" w:color="auto"/>
        <w:bottom w:val="none" w:sz="0" w:space="0" w:color="auto"/>
        <w:right w:val="none" w:sz="0" w:space="0" w:color="auto"/>
      </w:divBdr>
    </w:div>
    <w:div w:id="1748765609">
      <w:bodyDiv w:val="1"/>
      <w:marLeft w:val="0"/>
      <w:marRight w:val="0"/>
      <w:marTop w:val="0"/>
      <w:marBottom w:val="0"/>
      <w:divBdr>
        <w:top w:val="none" w:sz="0" w:space="0" w:color="auto"/>
        <w:left w:val="none" w:sz="0" w:space="0" w:color="auto"/>
        <w:bottom w:val="none" w:sz="0" w:space="0" w:color="auto"/>
        <w:right w:val="none" w:sz="0" w:space="0" w:color="auto"/>
      </w:divBdr>
    </w:div>
    <w:div w:id="1769160484">
      <w:bodyDiv w:val="1"/>
      <w:marLeft w:val="0"/>
      <w:marRight w:val="0"/>
      <w:marTop w:val="0"/>
      <w:marBottom w:val="0"/>
      <w:divBdr>
        <w:top w:val="none" w:sz="0" w:space="0" w:color="auto"/>
        <w:left w:val="none" w:sz="0" w:space="0" w:color="auto"/>
        <w:bottom w:val="none" w:sz="0" w:space="0" w:color="auto"/>
        <w:right w:val="none" w:sz="0" w:space="0" w:color="auto"/>
      </w:divBdr>
    </w:div>
    <w:div w:id="1780024499">
      <w:bodyDiv w:val="1"/>
      <w:marLeft w:val="0"/>
      <w:marRight w:val="0"/>
      <w:marTop w:val="0"/>
      <w:marBottom w:val="0"/>
      <w:divBdr>
        <w:top w:val="none" w:sz="0" w:space="0" w:color="auto"/>
        <w:left w:val="none" w:sz="0" w:space="0" w:color="auto"/>
        <w:bottom w:val="none" w:sz="0" w:space="0" w:color="auto"/>
        <w:right w:val="none" w:sz="0" w:space="0" w:color="auto"/>
      </w:divBdr>
    </w:div>
    <w:div w:id="1840072087">
      <w:bodyDiv w:val="1"/>
      <w:marLeft w:val="0"/>
      <w:marRight w:val="0"/>
      <w:marTop w:val="0"/>
      <w:marBottom w:val="0"/>
      <w:divBdr>
        <w:top w:val="none" w:sz="0" w:space="0" w:color="auto"/>
        <w:left w:val="none" w:sz="0" w:space="0" w:color="auto"/>
        <w:bottom w:val="none" w:sz="0" w:space="0" w:color="auto"/>
        <w:right w:val="none" w:sz="0" w:space="0" w:color="auto"/>
      </w:divBdr>
    </w:div>
    <w:div w:id="1922135891">
      <w:bodyDiv w:val="1"/>
      <w:marLeft w:val="0"/>
      <w:marRight w:val="0"/>
      <w:marTop w:val="0"/>
      <w:marBottom w:val="0"/>
      <w:divBdr>
        <w:top w:val="none" w:sz="0" w:space="0" w:color="auto"/>
        <w:left w:val="none" w:sz="0" w:space="0" w:color="auto"/>
        <w:bottom w:val="none" w:sz="0" w:space="0" w:color="auto"/>
        <w:right w:val="none" w:sz="0" w:space="0" w:color="auto"/>
      </w:divBdr>
    </w:div>
    <w:div w:id="2012023882">
      <w:bodyDiv w:val="1"/>
      <w:marLeft w:val="0"/>
      <w:marRight w:val="0"/>
      <w:marTop w:val="0"/>
      <w:marBottom w:val="0"/>
      <w:divBdr>
        <w:top w:val="none" w:sz="0" w:space="0" w:color="auto"/>
        <w:left w:val="none" w:sz="0" w:space="0" w:color="auto"/>
        <w:bottom w:val="none" w:sz="0" w:space="0" w:color="auto"/>
        <w:right w:val="none" w:sz="0" w:space="0" w:color="auto"/>
      </w:divBdr>
    </w:div>
    <w:div w:id="2041205351">
      <w:bodyDiv w:val="1"/>
      <w:marLeft w:val="0"/>
      <w:marRight w:val="0"/>
      <w:marTop w:val="0"/>
      <w:marBottom w:val="0"/>
      <w:divBdr>
        <w:top w:val="none" w:sz="0" w:space="0" w:color="auto"/>
        <w:left w:val="none" w:sz="0" w:space="0" w:color="auto"/>
        <w:bottom w:val="none" w:sz="0" w:space="0" w:color="auto"/>
        <w:right w:val="none" w:sz="0" w:space="0" w:color="auto"/>
      </w:divBdr>
    </w:div>
    <w:div w:id="2041855189">
      <w:bodyDiv w:val="1"/>
      <w:marLeft w:val="0"/>
      <w:marRight w:val="0"/>
      <w:marTop w:val="0"/>
      <w:marBottom w:val="0"/>
      <w:divBdr>
        <w:top w:val="none" w:sz="0" w:space="0" w:color="auto"/>
        <w:left w:val="none" w:sz="0" w:space="0" w:color="auto"/>
        <w:bottom w:val="none" w:sz="0" w:space="0" w:color="auto"/>
        <w:right w:val="none" w:sz="0" w:space="0" w:color="auto"/>
      </w:divBdr>
    </w:div>
    <w:div w:id="2042973466">
      <w:bodyDiv w:val="1"/>
      <w:marLeft w:val="0"/>
      <w:marRight w:val="0"/>
      <w:marTop w:val="0"/>
      <w:marBottom w:val="0"/>
      <w:divBdr>
        <w:top w:val="none" w:sz="0" w:space="0" w:color="auto"/>
        <w:left w:val="none" w:sz="0" w:space="0" w:color="auto"/>
        <w:bottom w:val="none" w:sz="0" w:space="0" w:color="auto"/>
        <w:right w:val="none" w:sz="0" w:space="0" w:color="auto"/>
      </w:divBdr>
    </w:div>
    <w:div w:id="2086757936">
      <w:bodyDiv w:val="1"/>
      <w:marLeft w:val="0"/>
      <w:marRight w:val="0"/>
      <w:marTop w:val="0"/>
      <w:marBottom w:val="0"/>
      <w:divBdr>
        <w:top w:val="none" w:sz="0" w:space="0" w:color="auto"/>
        <w:left w:val="none" w:sz="0" w:space="0" w:color="auto"/>
        <w:bottom w:val="none" w:sz="0" w:space="0" w:color="auto"/>
        <w:right w:val="none" w:sz="0" w:space="0" w:color="auto"/>
      </w:divBdr>
    </w:div>
    <w:div w:id="2095859362">
      <w:bodyDiv w:val="1"/>
      <w:marLeft w:val="0"/>
      <w:marRight w:val="0"/>
      <w:marTop w:val="0"/>
      <w:marBottom w:val="0"/>
      <w:divBdr>
        <w:top w:val="none" w:sz="0" w:space="0" w:color="auto"/>
        <w:left w:val="none" w:sz="0" w:space="0" w:color="auto"/>
        <w:bottom w:val="none" w:sz="0" w:space="0" w:color="auto"/>
        <w:right w:val="none" w:sz="0" w:space="0" w:color="auto"/>
      </w:divBdr>
    </w:div>
    <w:div w:id="213236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i9treinamentos.com/emenda-na-ldo-deve-beneficiar-cidades-de-ate-50-mil-habitant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GUI1</b:Tag>
    <b:SourceType>Book</b:SourceType>
    <b:Guid>{716AFADB-4200-4AFF-8A9E-A00AE0786204}</b:Guid>
    <b:Author>
      <b:Author>
        <b:NameList>
          <b:Person>
            <b:Last>GUINCHAT</b:Last>
            <b:First>Claire</b:First>
          </b:Person>
          <b:Person>
            <b:Last>MENOU</b:Last>
            <b:First>Michel</b:First>
          </b:Person>
        </b:NameList>
      </b:Author>
      <b:Translator>
        <b:NameList>
          <b:Person>
            <b:Last>Cunha</b:Last>
            <b:First>Míriam</b:First>
            <b:Middle>Vieira da</b:Middle>
          </b:Person>
        </b:NameList>
      </b:Translator>
    </b:Author>
    <b:Title>Introdução Geral às Ciências e Técnicas da Informação e Documentação</b:Title>
    <b:Year>1994</b:Year>
    <b:City>Brasília</b:City>
    <b:Publisher>IBICT</b:Publisher>
    <b:Edition>2ª</b:Edition>
    <b:RefOrder>2</b:RefOrder>
  </b:Source>
  <b:Source>
    <b:Tag>Alm07</b:Tag>
    <b:SourceType>JournalArticle</b:SourceType>
    <b:Guid>{238B4941-3B1B-4EE9-AAE3-91D6FC6158F7}</b:Guid>
    <b:Title>Paradigmas contemporâneos da Ciência da Informação: a recuperação da informação como ponto focal</b:Title>
    <b:Year>2007</b:Year>
    <b:Volume>6</b:Volume>
    <b:Author>
      <b:Author>
        <b:NameList>
          <b:Person>
            <b:Last>Almeida</b:Last>
            <b:Middle>Pereira dos Reis de</b:Middle>
            <b:First>Daniela</b:First>
          </b:Person>
          <b:Person>
            <b:Last>Antonio</b:Last>
            <b:Middle>Maria</b:Middle>
            <b:First>Deise</b:First>
          </b:Person>
          <b:Person>
            <b:Last>Boccato</b:Last>
            <b:Middle>Regina Casari</b:Middle>
            <b:First>Vera</b:First>
          </b:Person>
          <b:Person>
            <b:Last>Gonçalves</b:Last>
            <b:Middle>Carolina</b:Middle>
            <b:First>Maria</b:First>
          </b:Person>
          <b:Person>
            <b:Last>Ramalho</b:Last>
            <b:Middle>Aparecido Sá</b:Middle>
            <b:First>Rogério</b:First>
          </b:Person>
        </b:NameList>
      </b:Author>
    </b:Author>
    <b:JournalName>Revista Eletrônica Informação e Cognição</b:JournalName>
    <b:Pages>16-27</b:Pages>
    <b:Issue>1</b:Issue>
    <b:RefOrder>3</b:RefOrder>
  </b:Source>
  <b:Source>
    <b:Tag>Cap</b:Tag>
    <b:SourceType>JournalArticle</b:SourceType>
    <b:Guid>{2E929AD0-DA48-4275-876E-8D4C81A21781}</b:Guid>
    <b:Title>Epistemologia e ciência da informação</b:Title>
    <b:Author>
      <b:Author>
        <b:NameList>
          <b:Person>
            <b:Last>Capurro</b:Last>
            <b:First>Rafael</b:First>
          </b:Person>
        </b:NameList>
      </b:Author>
    </b:Author>
    <b:Year>2003</b:Year>
    <b:RefOrder>4</b:RefOrder>
  </b:Source>
  <b:Source>
    <b:Tag>Ara10</b:Tag>
    <b:SourceType>JournalArticle</b:SourceType>
    <b:Guid>{C060BE25-3CA6-4E8B-BF7B-FA521BBDA470}</b:Guid>
    <b:Title>Estudos de usuários conforme o paradigma social da ciência da informação: desafios teóricos e práticos de pesquisa</b:Title>
    <b:Year>2010</b:Year>
    <b:Author>
      <b:Author>
        <b:NameList>
          <b:Person>
            <b:Last>Araújo</b:Last>
            <b:Middle>Alberto Ávila</b:Middle>
            <b:First>Carlos</b:First>
          </b:Person>
        </b:NameList>
      </b:Author>
    </b:Author>
    <b:RefOrder>5</b:RefOrder>
  </b:Source>
  <b:Source>
    <b:Tag>SáI05</b:Tag>
    <b:SourceType>JournalArticle</b:SourceType>
    <b:Guid>{F0A7DCFC-BF22-4213-93B6-EBD0C44517BB}</b:Guid>
    <b:Title>A face oculta da interface serviços de informação arquivística na web centrados no usuário</b:Title>
    <b:Year>2005</b:Year>
    <b:Author>
      <b:Author>
        <b:NameList>
          <b:Person>
            <b:Last>Sá</b:Last>
            <b:Middle>Pereira de</b:Middle>
            <b:First>Ivone</b:First>
          </b:Person>
        </b:NameList>
      </b:Author>
    </b:Author>
    <b:RefOrder>6</b:RefOrder>
  </b:Source>
</b:Sources>
</file>

<file path=customXml/itemProps1.xml><?xml version="1.0" encoding="utf-8"?>
<ds:datastoreItem xmlns:ds="http://schemas.openxmlformats.org/officeDocument/2006/customXml" ds:itemID="{5E0DD43A-68F5-4DF1-9FC8-279D9BA8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5489</TotalTime>
  <Pages>16</Pages>
  <Words>6837</Words>
  <Characters>36924</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 Nurnberg Peres</cp:lastModifiedBy>
  <cp:revision>221</cp:revision>
  <cp:lastPrinted>2016-11-01T15:29:00Z</cp:lastPrinted>
  <dcterms:created xsi:type="dcterms:W3CDTF">2017-02-20T06:58:00Z</dcterms:created>
  <dcterms:modified xsi:type="dcterms:W3CDTF">2020-07-22T05:52:00Z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http://www.zotero.org/styles/associacao-brasileira-de-normas-tecnicas</vt:lpwstr>
  </property>
  <property fmtid="{D5CDD505-2E9C-101B-9397-08002B2CF9AE}" pid="13" name="Mendeley Recent Style Name 4_1">
    <vt:lpwstr>Associação Brasileira de Normas Técnicas (Portuguese - Brazil)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2441f8fa-7ca5-356d-8970-42de85e7a6fd</vt:lpwstr>
  </property>
</Properties>
</file>