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65922" w14:textId="287E8204" w:rsidR="001A017E" w:rsidRPr="001A017E" w:rsidRDefault="001A017E" w:rsidP="0062456A">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396DEA9A" w14:textId="309C8F3E" w:rsidR="004E59C0" w:rsidRDefault="004E59C0" w:rsidP="0062456A">
      <w:pPr>
        <w:spacing w:line="360" w:lineRule="auto"/>
        <w:rPr>
          <w:rFonts w:ascii="Times New Roman" w:hAnsi="Times New Roman" w:cs="Times New Roman"/>
          <w:color w:val="24292E"/>
          <w:sz w:val="24"/>
          <w:szCs w:val="24"/>
          <w:shd w:val="clear" w:color="auto" w:fill="FFFFFF"/>
        </w:rPr>
      </w:pPr>
      <w:r w:rsidRPr="0062456A">
        <w:rPr>
          <w:rFonts w:ascii="Times New Roman" w:hAnsi="Times New Roman" w:cs="Times New Roman"/>
          <w:color w:val="24292E"/>
          <w:sz w:val="24"/>
          <w:szCs w:val="24"/>
          <w:shd w:val="clear" w:color="auto" w:fill="FFFFFF"/>
        </w:rPr>
        <w:t xml:space="preserve">Trauma, defined as the clinical entity composed of both </w:t>
      </w:r>
      <w:r w:rsidR="00D20E2D" w:rsidRPr="0062456A">
        <w:rPr>
          <w:rFonts w:ascii="Times New Roman" w:hAnsi="Times New Roman" w:cs="Times New Roman"/>
          <w:color w:val="24292E"/>
          <w:sz w:val="24"/>
          <w:szCs w:val="24"/>
          <w:shd w:val="clear" w:color="auto" w:fill="FFFFFF"/>
        </w:rPr>
        <w:t>physical</w:t>
      </w:r>
      <w:r w:rsidRPr="0062456A">
        <w:rPr>
          <w:rFonts w:ascii="Times New Roman" w:hAnsi="Times New Roman" w:cs="Times New Roman"/>
          <w:color w:val="24292E"/>
          <w:sz w:val="24"/>
          <w:szCs w:val="24"/>
          <w:shd w:val="clear" w:color="auto" w:fill="FFFFFF"/>
        </w:rPr>
        <w:t xml:space="preserve"> injury and the body's associated response, is a global health problem </w:t>
      </w:r>
      <w:r w:rsidR="00D20E2D" w:rsidRPr="0062456A">
        <w:rPr>
          <w:rFonts w:ascii="Times New Roman" w:hAnsi="Times New Roman" w:cs="Times New Roman"/>
          <w:color w:val="24292E"/>
          <w:sz w:val="24"/>
          <w:szCs w:val="24"/>
          <w:shd w:val="clear" w:color="auto" w:fill="FFFFFF"/>
        </w:rPr>
        <w:t>both in regards of mortality and morbidity.  2017 accounted for 8% of total global deaths and for 13% of all Disease Adjusted Life Years (DALY) lost</w:t>
      </w:r>
      <w:r w:rsidR="00570A0A" w:rsidRPr="0062456A">
        <w:rPr>
          <w:rFonts w:ascii="Times New Roman" w:hAnsi="Times New Roman" w:cs="Times New Roman"/>
          <w:color w:val="24292E"/>
          <w:sz w:val="24"/>
          <w:szCs w:val="24"/>
          <w:shd w:val="clear" w:color="auto" w:fill="FFFFFF"/>
        </w:rPr>
        <w:t xml:space="preserve"> [@GBD2017DALY]</w:t>
      </w:r>
      <w:r w:rsidR="00D20E2D" w:rsidRPr="0062456A">
        <w:rPr>
          <w:rFonts w:ascii="Times New Roman" w:hAnsi="Times New Roman" w:cs="Times New Roman"/>
          <w:color w:val="24292E"/>
          <w:sz w:val="24"/>
          <w:szCs w:val="24"/>
          <w:shd w:val="clear" w:color="auto" w:fill="FFFFFF"/>
        </w:rPr>
        <w:t xml:space="preserve">. </w:t>
      </w:r>
      <w:r w:rsidR="002E31C5">
        <w:rPr>
          <w:rFonts w:ascii="Times New Roman" w:hAnsi="Times New Roman" w:cs="Times New Roman"/>
          <w:color w:val="24292E"/>
          <w:sz w:val="24"/>
          <w:szCs w:val="24"/>
          <w:shd w:val="clear" w:color="auto" w:fill="FFFFFF"/>
        </w:rPr>
        <w:t>(</w:t>
      </w:r>
      <w:r w:rsidR="00110C31" w:rsidRPr="0062456A">
        <w:rPr>
          <w:rFonts w:ascii="Times New Roman" w:hAnsi="Times New Roman" w:cs="Times New Roman"/>
          <w:color w:val="24292E"/>
          <w:sz w:val="24"/>
          <w:szCs w:val="24"/>
          <w:shd w:val="clear" w:color="auto" w:fill="FFFFFF"/>
        </w:rPr>
        <w:t>The</w:t>
      </w:r>
      <w:r w:rsidR="00D20E2D" w:rsidRPr="0062456A">
        <w:rPr>
          <w:rFonts w:ascii="Times New Roman" w:hAnsi="Times New Roman" w:cs="Times New Roman"/>
          <w:color w:val="24292E"/>
          <w:sz w:val="24"/>
          <w:szCs w:val="24"/>
          <w:shd w:val="clear" w:color="auto" w:fill="FFFFFF"/>
        </w:rPr>
        <w:t xml:space="preserve"> total </w:t>
      </w:r>
      <w:r w:rsidR="00110C31" w:rsidRPr="0062456A">
        <w:rPr>
          <w:rFonts w:ascii="Times New Roman" w:hAnsi="Times New Roman" w:cs="Times New Roman"/>
          <w:color w:val="24292E"/>
          <w:sz w:val="24"/>
          <w:szCs w:val="24"/>
          <w:shd w:val="clear" w:color="auto" w:fill="FFFFFF"/>
        </w:rPr>
        <w:t>number of injuries of all kinds is estimated to be at least 520 million per year</w:t>
      </w:r>
      <w:r w:rsidR="00006437" w:rsidRPr="0062456A">
        <w:rPr>
          <w:rFonts w:ascii="Times New Roman" w:hAnsi="Times New Roman" w:cs="Times New Roman"/>
          <w:color w:val="24292E"/>
          <w:sz w:val="24"/>
          <w:szCs w:val="24"/>
          <w:shd w:val="clear" w:color="auto" w:fill="FFFFFF"/>
        </w:rPr>
        <w:t>.</w:t>
      </w:r>
      <w:r w:rsidR="00110C31" w:rsidRPr="0062456A">
        <w:rPr>
          <w:rFonts w:ascii="Times New Roman" w:hAnsi="Times New Roman" w:cs="Times New Roman"/>
          <w:color w:val="24292E"/>
          <w:sz w:val="24"/>
          <w:szCs w:val="24"/>
          <w:shd w:val="clear" w:color="auto" w:fill="FFFFFF"/>
        </w:rPr>
        <w:t xml:space="preserve"> </w:t>
      </w:r>
      <w:r w:rsidR="00570A0A" w:rsidRPr="0062456A">
        <w:rPr>
          <w:rFonts w:ascii="Times New Roman" w:hAnsi="Times New Roman" w:cs="Times New Roman"/>
          <w:color w:val="24292E"/>
          <w:sz w:val="24"/>
          <w:szCs w:val="24"/>
          <w:shd w:val="clear" w:color="auto" w:fill="FFFFFF"/>
        </w:rPr>
        <w:t>[4]</w:t>
      </w:r>
      <w:r w:rsidR="002E31C5">
        <w:rPr>
          <w:rFonts w:ascii="Times New Roman" w:hAnsi="Times New Roman" w:cs="Times New Roman"/>
          <w:color w:val="24292E"/>
          <w:sz w:val="24"/>
          <w:szCs w:val="24"/>
          <w:shd w:val="clear" w:color="auto" w:fill="FFFFFF"/>
        </w:rPr>
        <w:t>)</w:t>
      </w:r>
      <w:r w:rsidR="00006437" w:rsidRPr="0062456A">
        <w:rPr>
          <w:rFonts w:ascii="Times New Roman" w:hAnsi="Times New Roman" w:cs="Times New Roman"/>
          <w:color w:val="24292E"/>
          <w:sz w:val="24"/>
          <w:szCs w:val="24"/>
          <w:shd w:val="clear" w:color="auto" w:fill="FFFFFF"/>
        </w:rPr>
        <w:t xml:space="preserve"> According to</w:t>
      </w:r>
      <w:r w:rsidR="002E31C5">
        <w:rPr>
          <w:rFonts w:ascii="Times New Roman" w:hAnsi="Times New Roman" w:cs="Times New Roman"/>
          <w:color w:val="24292E"/>
          <w:sz w:val="24"/>
          <w:szCs w:val="24"/>
          <w:shd w:val="clear" w:color="auto" w:fill="FFFFFF"/>
        </w:rPr>
        <w:t xml:space="preserve"> calculations done by</w:t>
      </w:r>
      <w:r w:rsidR="00006437" w:rsidRPr="0062456A">
        <w:rPr>
          <w:rFonts w:ascii="Times New Roman" w:hAnsi="Times New Roman" w:cs="Times New Roman"/>
          <w:color w:val="24292E"/>
          <w:sz w:val="24"/>
          <w:szCs w:val="24"/>
          <w:shd w:val="clear" w:color="auto" w:fill="FFFFFF"/>
        </w:rPr>
        <w:t xml:space="preserve"> Mock et al. </w:t>
      </w:r>
      <w:r w:rsidR="002E31C5" w:rsidRPr="0062456A">
        <w:rPr>
          <w:rFonts w:ascii="Times New Roman" w:hAnsi="Times New Roman" w:cs="Times New Roman"/>
          <w:color w:val="24292E"/>
          <w:sz w:val="24"/>
          <w:szCs w:val="24"/>
          <w:shd w:val="clear" w:color="auto" w:fill="FFFFFF"/>
        </w:rPr>
        <w:t>[5]</w:t>
      </w:r>
      <w:r w:rsidRPr="0062456A">
        <w:rPr>
          <w:rFonts w:ascii="Times New Roman" w:hAnsi="Times New Roman" w:cs="Times New Roman"/>
          <w:color w:val="24292E"/>
          <w:sz w:val="24"/>
          <w:szCs w:val="24"/>
          <w:shd w:val="clear" w:color="auto" w:fill="FFFFFF"/>
        </w:rPr>
        <w:t xml:space="preserve"> 90% of all deaths due to trauma were in low and middle income </w:t>
      </w:r>
      <w:r w:rsidR="00006437" w:rsidRPr="0062456A">
        <w:rPr>
          <w:rFonts w:ascii="Times New Roman" w:hAnsi="Times New Roman" w:cs="Times New Roman"/>
          <w:color w:val="24292E"/>
          <w:sz w:val="24"/>
          <w:szCs w:val="24"/>
          <w:shd w:val="clear" w:color="auto" w:fill="FFFFFF"/>
        </w:rPr>
        <w:t>countries</w:t>
      </w:r>
      <w:r w:rsidRPr="0062456A">
        <w:rPr>
          <w:rFonts w:ascii="Times New Roman" w:hAnsi="Times New Roman" w:cs="Times New Roman"/>
          <w:color w:val="24292E"/>
          <w:sz w:val="24"/>
          <w:szCs w:val="24"/>
          <w:shd w:val="clear" w:color="auto" w:fill="FFFFFF"/>
        </w:rPr>
        <w:t xml:space="preserve"> w</w:t>
      </w:r>
      <w:r w:rsidR="00110C31" w:rsidRPr="0062456A">
        <w:rPr>
          <w:rFonts w:ascii="Times New Roman" w:hAnsi="Times New Roman" w:cs="Times New Roman"/>
          <w:color w:val="24292E"/>
          <w:sz w:val="24"/>
          <w:szCs w:val="24"/>
          <w:shd w:val="clear" w:color="auto" w:fill="FFFFFF"/>
        </w:rPr>
        <w:t>h</w:t>
      </w:r>
      <w:r w:rsidRPr="0062456A">
        <w:rPr>
          <w:rFonts w:ascii="Times New Roman" w:hAnsi="Times New Roman" w:cs="Times New Roman"/>
          <w:color w:val="24292E"/>
          <w:sz w:val="24"/>
          <w:szCs w:val="24"/>
          <w:shd w:val="clear" w:color="auto" w:fill="FFFFFF"/>
        </w:rPr>
        <w:t>i</w:t>
      </w:r>
      <w:r w:rsidR="00110C31" w:rsidRPr="0062456A">
        <w:rPr>
          <w:rFonts w:ascii="Times New Roman" w:hAnsi="Times New Roman" w:cs="Times New Roman"/>
          <w:color w:val="24292E"/>
          <w:sz w:val="24"/>
          <w:szCs w:val="24"/>
          <w:shd w:val="clear" w:color="auto" w:fill="FFFFFF"/>
        </w:rPr>
        <w:t>c</w:t>
      </w:r>
      <w:r w:rsidRPr="0062456A">
        <w:rPr>
          <w:rFonts w:ascii="Times New Roman" w:hAnsi="Times New Roman" w:cs="Times New Roman"/>
          <w:color w:val="24292E"/>
          <w:sz w:val="24"/>
          <w:szCs w:val="24"/>
          <w:shd w:val="clear" w:color="auto" w:fill="FFFFFF"/>
        </w:rPr>
        <w:t>h</w:t>
      </w:r>
      <w:r w:rsidR="00006437" w:rsidRPr="0062456A">
        <w:rPr>
          <w:rFonts w:ascii="Times New Roman" w:hAnsi="Times New Roman" w:cs="Times New Roman"/>
          <w:color w:val="24292E"/>
          <w:sz w:val="24"/>
          <w:szCs w:val="24"/>
          <w:shd w:val="clear" w:color="auto" w:fill="FFFFFF"/>
        </w:rPr>
        <w:t xml:space="preserve"> also</w:t>
      </w:r>
      <w:r w:rsidR="00110C31" w:rsidRPr="0062456A">
        <w:rPr>
          <w:rFonts w:ascii="Times New Roman" w:hAnsi="Times New Roman" w:cs="Times New Roman"/>
          <w:color w:val="24292E"/>
          <w:sz w:val="24"/>
          <w:szCs w:val="24"/>
          <w:shd w:val="clear" w:color="auto" w:fill="FFFFFF"/>
        </w:rPr>
        <w:t xml:space="preserve"> had</w:t>
      </w:r>
      <w:r w:rsidRPr="0062456A">
        <w:rPr>
          <w:rFonts w:ascii="Times New Roman" w:hAnsi="Times New Roman" w:cs="Times New Roman"/>
          <w:color w:val="24292E"/>
          <w:sz w:val="24"/>
          <w:szCs w:val="24"/>
          <w:shd w:val="clear" w:color="auto" w:fill="FFFFFF"/>
        </w:rPr>
        <w:t xml:space="preserve"> </w:t>
      </w:r>
      <w:r w:rsidR="00006437" w:rsidRPr="0062456A">
        <w:rPr>
          <w:rFonts w:ascii="Times New Roman" w:hAnsi="Times New Roman" w:cs="Times New Roman"/>
          <w:color w:val="24292E"/>
          <w:sz w:val="24"/>
          <w:szCs w:val="24"/>
          <w:shd w:val="clear" w:color="auto" w:fill="FFFFFF"/>
        </w:rPr>
        <w:t>a fatality</w:t>
      </w:r>
      <w:r w:rsidRPr="0062456A">
        <w:rPr>
          <w:rFonts w:ascii="Times New Roman" w:hAnsi="Times New Roman" w:cs="Times New Roman"/>
          <w:color w:val="24292E"/>
          <w:sz w:val="24"/>
          <w:szCs w:val="24"/>
          <w:shd w:val="clear" w:color="auto" w:fill="FFFFFF"/>
        </w:rPr>
        <w:t xml:space="preserve"> rate</w:t>
      </w:r>
      <w:r w:rsidR="00006437" w:rsidRPr="0062456A">
        <w:rPr>
          <w:rFonts w:ascii="Times New Roman" w:hAnsi="Times New Roman" w:cs="Times New Roman"/>
          <w:color w:val="24292E"/>
          <w:sz w:val="24"/>
          <w:szCs w:val="24"/>
          <w:shd w:val="clear" w:color="auto" w:fill="FFFFFF"/>
        </w:rPr>
        <w:t xml:space="preserve"> 60-80% higher</w:t>
      </w:r>
      <w:r w:rsidRPr="0062456A">
        <w:rPr>
          <w:rFonts w:ascii="Times New Roman" w:hAnsi="Times New Roman" w:cs="Times New Roman"/>
          <w:color w:val="24292E"/>
          <w:sz w:val="24"/>
          <w:szCs w:val="24"/>
          <w:shd w:val="clear" w:color="auto" w:fill="FFFFFF"/>
        </w:rPr>
        <w:t xml:space="preserve"> </w:t>
      </w:r>
      <w:proofErr w:type="spellStart"/>
      <w:r w:rsidR="00006437" w:rsidRPr="0062456A">
        <w:rPr>
          <w:rFonts w:ascii="Times New Roman" w:hAnsi="Times New Roman" w:cs="Times New Roman"/>
          <w:color w:val="24292E"/>
          <w:sz w:val="24"/>
          <w:szCs w:val="24"/>
          <w:shd w:val="clear" w:color="auto" w:fill="FFFFFF"/>
        </w:rPr>
        <w:t>then</w:t>
      </w:r>
      <w:proofErr w:type="spellEnd"/>
      <w:r w:rsidR="00006437" w:rsidRPr="0062456A">
        <w:rPr>
          <w:rFonts w:ascii="Times New Roman" w:hAnsi="Times New Roman" w:cs="Times New Roman"/>
          <w:color w:val="24292E"/>
          <w:sz w:val="24"/>
          <w:szCs w:val="24"/>
          <w:shd w:val="clear" w:color="auto" w:fill="FFFFFF"/>
        </w:rPr>
        <w:t xml:space="preserve"> that of</w:t>
      </w:r>
      <w:r w:rsidRPr="0062456A">
        <w:rPr>
          <w:rFonts w:ascii="Times New Roman" w:hAnsi="Times New Roman" w:cs="Times New Roman"/>
          <w:color w:val="24292E"/>
          <w:sz w:val="24"/>
          <w:szCs w:val="24"/>
          <w:shd w:val="clear" w:color="auto" w:fill="FFFFFF"/>
        </w:rPr>
        <w:t xml:space="preserve"> high income countries</w:t>
      </w:r>
      <w:r w:rsidR="002E31C5">
        <w:rPr>
          <w:rFonts w:ascii="Times New Roman" w:hAnsi="Times New Roman" w:cs="Times New Roman"/>
          <w:color w:val="24292E"/>
          <w:sz w:val="24"/>
          <w:szCs w:val="24"/>
          <w:shd w:val="clear" w:color="auto" w:fill="FFFFFF"/>
        </w:rPr>
        <w:t xml:space="preserve"> and</w:t>
      </w:r>
      <w:r w:rsidRPr="0062456A">
        <w:rPr>
          <w:rFonts w:ascii="Times New Roman" w:hAnsi="Times New Roman" w:cs="Times New Roman"/>
          <w:color w:val="24292E"/>
          <w:sz w:val="24"/>
          <w:szCs w:val="24"/>
          <w:shd w:val="clear" w:color="auto" w:fill="FFFFFF"/>
        </w:rPr>
        <w:t xml:space="preserve"> </w:t>
      </w:r>
      <w:r w:rsidR="002E31C5">
        <w:rPr>
          <w:rFonts w:ascii="Times New Roman" w:hAnsi="Times New Roman" w:cs="Times New Roman"/>
          <w:color w:val="24292E"/>
          <w:sz w:val="24"/>
          <w:szCs w:val="24"/>
          <w:shd w:val="clear" w:color="auto" w:fill="FFFFFF"/>
        </w:rPr>
        <w:t>a</w:t>
      </w:r>
      <w:r w:rsidRPr="0062456A">
        <w:rPr>
          <w:rFonts w:ascii="Times New Roman" w:hAnsi="Times New Roman" w:cs="Times New Roman"/>
          <w:color w:val="24292E"/>
          <w:sz w:val="24"/>
          <w:szCs w:val="24"/>
          <w:shd w:val="clear" w:color="auto" w:fill="FFFFFF"/>
        </w:rPr>
        <w:t>n improvement in trauma care globally to th</w:t>
      </w:r>
      <w:r w:rsidR="00110C31" w:rsidRPr="0062456A">
        <w:rPr>
          <w:rFonts w:ascii="Times New Roman" w:hAnsi="Times New Roman" w:cs="Times New Roman"/>
          <w:color w:val="24292E"/>
          <w:sz w:val="24"/>
          <w:szCs w:val="24"/>
          <w:shd w:val="clear" w:color="auto" w:fill="FFFFFF"/>
        </w:rPr>
        <w:t>e</w:t>
      </w:r>
      <w:r w:rsidRPr="0062456A">
        <w:rPr>
          <w:rFonts w:ascii="Times New Roman" w:hAnsi="Times New Roman" w:cs="Times New Roman"/>
          <w:color w:val="24292E"/>
          <w:sz w:val="24"/>
          <w:szCs w:val="24"/>
          <w:shd w:val="clear" w:color="auto" w:fill="FFFFFF"/>
        </w:rPr>
        <w:t xml:space="preserve"> level of </w:t>
      </w:r>
      <w:r w:rsidR="00006437" w:rsidRPr="0062456A">
        <w:rPr>
          <w:rFonts w:ascii="Times New Roman" w:hAnsi="Times New Roman" w:cs="Times New Roman"/>
          <w:color w:val="24292E"/>
          <w:sz w:val="24"/>
          <w:szCs w:val="24"/>
          <w:shd w:val="clear" w:color="auto" w:fill="FFFFFF"/>
        </w:rPr>
        <w:t xml:space="preserve">that </w:t>
      </w:r>
      <w:r w:rsidR="002E31C5">
        <w:rPr>
          <w:rFonts w:ascii="Times New Roman" w:hAnsi="Times New Roman" w:cs="Times New Roman"/>
          <w:color w:val="24292E"/>
          <w:sz w:val="24"/>
          <w:szCs w:val="24"/>
          <w:shd w:val="clear" w:color="auto" w:fill="FFFFFF"/>
        </w:rPr>
        <w:t>i</w:t>
      </w:r>
      <w:r w:rsidR="00006437" w:rsidRPr="0062456A">
        <w:rPr>
          <w:rFonts w:ascii="Times New Roman" w:hAnsi="Times New Roman" w:cs="Times New Roman"/>
          <w:color w:val="24292E"/>
          <w:sz w:val="24"/>
          <w:szCs w:val="24"/>
          <w:shd w:val="clear" w:color="auto" w:fill="FFFFFF"/>
        </w:rPr>
        <w:t xml:space="preserve">n </w:t>
      </w:r>
      <w:r w:rsidRPr="0062456A">
        <w:rPr>
          <w:rFonts w:ascii="Times New Roman" w:hAnsi="Times New Roman" w:cs="Times New Roman"/>
          <w:color w:val="24292E"/>
          <w:sz w:val="24"/>
          <w:szCs w:val="24"/>
          <w:shd w:val="clear" w:color="auto" w:fill="FFFFFF"/>
        </w:rPr>
        <w:t>high income countries could sav</w:t>
      </w:r>
      <w:r w:rsidR="00006437" w:rsidRPr="0062456A">
        <w:rPr>
          <w:rFonts w:ascii="Times New Roman" w:hAnsi="Times New Roman" w:cs="Times New Roman"/>
          <w:color w:val="24292E"/>
          <w:sz w:val="24"/>
          <w:szCs w:val="24"/>
          <w:shd w:val="clear" w:color="auto" w:fill="FFFFFF"/>
        </w:rPr>
        <w:t>e</w:t>
      </w:r>
      <w:r w:rsidRPr="0062456A">
        <w:rPr>
          <w:rFonts w:ascii="Times New Roman" w:hAnsi="Times New Roman" w:cs="Times New Roman"/>
          <w:color w:val="24292E"/>
          <w:sz w:val="24"/>
          <w:szCs w:val="24"/>
          <w:shd w:val="clear" w:color="auto" w:fill="FFFFFF"/>
        </w:rPr>
        <w:t xml:space="preserve"> </w:t>
      </w:r>
      <w:r w:rsidR="00006437" w:rsidRPr="0062456A">
        <w:rPr>
          <w:rFonts w:ascii="Times New Roman" w:hAnsi="Times New Roman" w:cs="Times New Roman"/>
          <w:color w:val="24292E"/>
          <w:sz w:val="24"/>
          <w:szCs w:val="24"/>
          <w:shd w:val="clear" w:color="auto" w:fill="FFFFFF"/>
        </w:rPr>
        <w:t>about 1.7</w:t>
      </w:r>
      <w:r w:rsidRPr="0062456A">
        <w:rPr>
          <w:rFonts w:ascii="Times New Roman" w:hAnsi="Times New Roman" w:cs="Times New Roman"/>
          <w:color w:val="24292E"/>
          <w:sz w:val="24"/>
          <w:szCs w:val="24"/>
          <w:shd w:val="clear" w:color="auto" w:fill="FFFFFF"/>
        </w:rPr>
        <w:t xml:space="preserve"> lives annually</w:t>
      </w:r>
      <w:r w:rsidR="00006437" w:rsidRPr="0062456A">
        <w:rPr>
          <w:rFonts w:ascii="Times New Roman" w:hAnsi="Times New Roman" w:cs="Times New Roman"/>
          <w:color w:val="24292E"/>
          <w:sz w:val="24"/>
          <w:szCs w:val="24"/>
          <w:shd w:val="clear" w:color="auto" w:fill="FFFFFF"/>
        </w:rPr>
        <w:t>, or about one third of the global deaths due to trauma.</w:t>
      </w:r>
      <w:r w:rsidRPr="0062456A">
        <w:rPr>
          <w:rFonts w:ascii="Times New Roman" w:hAnsi="Times New Roman" w:cs="Times New Roman"/>
          <w:color w:val="24292E"/>
          <w:sz w:val="24"/>
          <w:szCs w:val="24"/>
          <w:shd w:val="clear" w:color="auto" w:fill="FFFFFF"/>
        </w:rPr>
        <w:t xml:space="preserve"> [</w:t>
      </w:r>
      <w:r w:rsidR="00006437" w:rsidRPr="0062456A">
        <w:rPr>
          <w:rFonts w:ascii="Times New Roman" w:hAnsi="Times New Roman" w:cs="Times New Roman"/>
          <w:color w:val="24292E"/>
          <w:sz w:val="24"/>
          <w:szCs w:val="24"/>
          <w:shd w:val="clear" w:color="auto" w:fill="FFFFFF"/>
        </w:rPr>
        <w:t>5</w:t>
      </w:r>
      <w:r w:rsidRPr="0062456A">
        <w:rPr>
          <w:rFonts w:ascii="Times New Roman" w:hAnsi="Times New Roman" w:cs="Times New Roman"/>
          <w:color w:val="24292E"/>
          <w:sz w:val="24"/>
          <w:szCs w:val="24"/>
          <w:shd w:val="clear" w:color="auto" w:fill="FFFFFF"/>
        </w:rPr>
        <w:t>]</w:t>
      </w:r>
      <w:r w:rsidR="00006437" w:rsidRPr="0062456A">
        <w:rPr>
          <w:rFonts w:ascii="Times New Roman" w:hAnsi="Times New Roman" w:cs="Times New Roman"/>
          <w:color w:val="24292E"/>
          <w:sz w:val="24"/>
          <w:szCs w:val="24"/>
          <w:shd w:val="clear" w:color="auto" w:fill="FFFFFF"/>
        </w:rPr>
        <w:t>.</w:t>
      </w:r>
      <w:r w:rsidR="002E31C5">
        <w:rPr>
          <w:rFonts w:ascii="Times New Roman" w:hAnsi="Times New Roman" w:cs="Times New Roman"/>
          <w:color w:val="24292E"/>
          <w:sz w:val="24"/>
          <w:szCs w:val="24"/>
          <w:shd w:val="clear" w:color="auto" w:fill="FFFFFF"/>
        </w:rPr>
        <w:t xml:space="preserve"> </w:t>
      </w:r>
      <w:r w:rsidR="00270B28">
        <w:rPr>
          <w:rFonts w:ascii="Times New Roman" w:hAnsi="Times New Roman" w:cs="Times New Roman"/>
          <w:color w:val="24292E"/>
          <w:sz w:val="24"/>
          <w:szCs w:val="24"/>
          <w:shd w:val="clear" w:color="auto" w:fill="FFFFFF"/>
        </w:rPr>
        <w:t xml:space="preserve">It is also known that </w:t>
      </w:r>
      <w:r w:rsidR="008F5E5B">
        <w:rPr>
          <w:rFonts w:ascii="Times New Roman" w:hAnsi="Times New Roman" w:cs="Times New Roman"/>
          <w:color w:val="24292E"/>
          <w:sz w:val="24"/>
          <w:szCs w:val="24"/>
          <w:shd w:val="clear" w:color="auto" w:fill="FFFFFF"/>
        </w:rPr>
        <w:t>trauma care requires early intervention, often surgical, as by “The golden hour” concept and that most deaths occur early after the accident [6]. It is therefore important to be able to characterize the severity of the condition rapidly and thus be able to prioritize resources on the patients most affected, especially</w:t>
      </w:r>
      <w:r w:rsidR="00213167">
        <w:rPr>
          <w:rFonts w:ascii="Times New Roman" w:hAnsi="Times New Roman" w:cs="Times New Roman"/>
          <w:color w:val="24292E"/>
          <w:sz w:val="24"/>
          <w:szCs w:val="24"/>
          <w:shd w:val="clear" w:color="auto" w:fill="FFFFFF"/>
        </w:rPr>
        <w:t xml:space="preserve"> regarding trauma patients </w:t>
      </w:r>
      <w:r w:rsidR="008F5E5B">
        <w:rPr>
          <w:rFonts w:ascii="Times New Roman" w:hAnsi="Times New Roman" w:cs="Times New Roman"/>
          <w:color w:val="24292E"/>
          <w:sz w:val="24"/>
          <w:szCs w:val="24"/>
          <w:shd w:val="clear" w:color="auto" w:fill="FFFFFF"/>
        </w:rPr>
        <w:t>in low resource settings.</w:t>
      </w:r>
    </w:p>
    <w:p w14:paraId="509712D5" w14:textId="0F479350" w:rsidR="008F5E5B" w:rsidRDefault="008F5E5B" w:rsidP="0062456A">
      <w:pPr>
        <w:spacing w:line="360" w:lineRule="auto"/>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For patients with severe infections the </w:t>
      </w:r>
      <w:r w:rsidR="00B3153F">
        <w:rPr>
          <w:rFonts w:ascii="Times New Roman" w:hAnsi="Times New Roman" w:cs="Times New Roman"/>
          <w:color w:val="24292E"/>
          <w:sz w:val="24"/>
          <w:szCs w:val="24"/>
          <w:shd w:val="clear" w:color="auto" w:fill="FFFFFF"/>
        </w:rPr>
        <w:t>Sequential Organ Failure Assessment score (</w:t>
      </w:r>
      <w:r>
        <w:rPr>
          <w:rFonts w:ascii="Times New Roman" w:hAnsi="Times New Roman" w:cs="Times New Roman"/>
          <w:color w:val="24292E"/>
          <w:sz w:val="24"/>
          <w:szCs w:val="24"/>
          <w:shd w:val="clear" w:color="auto" w:fill="FFFFFF"/>
        </w:rPr>
        <w:t>SOFA score</w:t>
      </w:r>
      <w:r w:rsidR="00B3153F">
        <w:rPr>
          <w:rFonts w:ascii="Times New Roman" w:hAnsi="Times New Roman" w:cs="Times New Roman"/>
          <w:color w:val="24292E"/>
          <w:sz w:val="24"/>
          <w:szCs w:val="24"/>
          <w:shd w:val="clear" w:color="auto" w:fill="FFFFFF"/>
        </w:rPr>
        <w:t>)</w:t>
      </w:r>
      <w:r>
        <w:rPr>
          <w:rFonts w:ascii="Times New Roman" w:hAnsi="Times New Roman" w:cs="Times New Roman"/>
          <w:color w:val="24292E"/>
          <w:sz w:val="24"/>
          <w:szCs w:val="24"/>
          <w:shd w:val="clear" w:color="auto" w:fill="FFFFFF"/>
        </w:rPr>
        <w:t xml:space="preserve"> has been developed to grade the </w:t>
      </w:r>
      <w:r w:rsidR="00B3153F">
        <w:rPr>
          <w:rFonts w:ascii="Times New Roman" w:hAnsi="Times New Roman" w:cs="Times New Roman"/>
          <w:color w:val="24292E"/>
          <w:sz w:val="24"/>
          <w:szCs w:val="24"/>
          <w:shd w:val="clear" w:color="auto" w:fill="FFFFFF"/>
        </w:rPr>
        <w:t>level of organ dysfunction as a result of the infection. Alongside</w:t>
      </w:r>
      <w:r w:rsidR="00213167">
        <w:rPr>
          <w:rFonts w:ascii="Times New Roman" w:hAnsi="Times New Roman" w:cs="Times New Roman"/>
          <w:color w:val="24292E"/>
          <w:sz w:val="24"/>
          <w:szCs w:val="24"/>
          <w:shd w:val="clear" w:color="auto" w:fill="FFFFFF"/>
        </w:rPr>
        <w:t xml:space="preserve"> the SOFA score</w:t>
      </w:r>
      <w:r w:rsidR="00B3153F">
        <w:rPr>
          <w:rFonts w:ascii="Times New Roman" w:hAnsi="Times New Roman" w:cs="Times New Roman"/>
          <w:color w:val="24292E"/>
          <w:sz w:val="24"/>
          <w:szCs w:val="24"/>
          <w:shd w:val="clear" w:color="auto" w:fill="FFFFFF"/>
        </w:rPr>
        <w:t xml:space="preserve"> the quick Sequential Organ Failure </w:t>
      </w:r>
      <w:r w:rsidR="00213167">
        <w:rPr>
          <w:rFonts w:ascii="Times New Roman" w:hAnsi="Times New Roman" w:cs="Times New Roman"/>
          <w:color w:val="24292E"/>
          <w:sz w:val="24"/>
          <w:szCs w:val="24"/>
          <w:shd w:val="clear" w:color="auto" w:fill="FFFFFF"/>
        </w:rPr>
        <w:t>A</w:t>
      </w:r>
      <w:r w:rsidR="00B3153F">
        <w:rPr>
          <w:rFonts w:ascii="Times New Roman" w:hAnsi="Times New Roman" w:cs="Times New Roman"/>
          <w:color w:val="24292E"/>
          <w:sz w:val="24"/>
          <w:szCs w:val="24"/>
          <w:shd w:val="clear" w:color="auto" w:fill="FFFFFF"/>
        </w:rPr>
        <w:t>ssessment score (</w:t>
      </w:r>
      <w:proofErr w:type="spellStart"/>
      <w:r w:rsidR="00B3153F">
        <w:rPr>
          <w:rFonts w:ascii="Times New Roman" w:hAnsi="Times New Roman" w:cs="Times New Roman"/>
          <w:color w:val="24292E"/>
          <w:sz w:val="24"/>
          <w:szCs w:val="24"/>
          <w:shd w:val="clear" w:color="auto" w:fill="FFFFFF"/>
        </w:rPr>
        <w:t>qSOFA</w:t>
      </w:r>
      <w:proofErr w:type="spellEnd"/>
      <w:r w:rsidR="00B3153F">
        <w:rPr>
          <w:rFonts w:ascii="Times New Roman" w:hAnsi="Times New Roman" w:cs="Times New Roman"/>
          <w:color w:val="24292E"/>
          <w:sz w:val="24"/>
          <w:szCs w:val="24"/>
          <w:shd w:val="clear" w:color="auto" w:fill="FFFFFF"/>
        </w:rPr>
        <w:t xml:space="preserve"> score) has been developed as a screening tool</w:t>
      </w:r>
      <w:r w:rsidR="00817ACD">
        <w:rPr>
          <w:rFonts w:ascii="Times New Roman" w:hAnsi="Times New Roman" w:cs="Times New Roman"/>
          <w:color w:val="24292E"/>
          <w:sz w:val="24"/>
          <w:szCs w:val="24"/>
          <w:shd w:val="clear" w:color="auto" w:fill="FFFFFF"/>
        </w:rPr>
        <w:t xml:space="preserve"> able to be performed bedside</w:t>
      </w:r>
      <w:r w:rsidR="00B3153F">
        <w:rPr>
          <w:rFonts w:ascii="Times New Roman" w:hAnsi="Times New Roman" w:cs="Times New Roman"/>
          <w:color w:val="24292E"/>
          <w:sz w:val="24"/>
          <w:szCs w:val="24"/>
          <w:shd w:val="clear" w:color="auto" w:fill="FFFFFF"/>
        </w:rPr>
        <w:t xml:space="preserve"> to identify </w:t>
      </w:r>
      <w:r w:rsidR="00817ACD">
        <w:rPr>
          <w:rFonts w:ascii="Times New Roman" w:hAnsi="Times New Roman" w:cs="Times New Roman"/>
          <w:color w:val="24292E"/>
          <w:sz w:val="24"/>
          <w:szCs w:val="24"/>
          <w:shd w:val="clear" w:color="auto" w:fill="FFFFFF"/>
        </w:rPr>
        <w:t>patients</w:t>
      </w:r>
      <w:r w:rsidR="00213167">
        <w:rPr>
          <w:rFonts w:ascii="Times New Roman" w:hAnsi="Times New Roman" w:cs="Times New Roman"/>
          <w:color w:val="24292E"/>
          <w:sz w:val="24"/>
          <w:szCs w:val="24"/>
          <w:shd w:val="clear" w:color="auto" w:fill="FFFFFF"/>
        </w:rPr>
        <w:t xml:space="preserve"> with </w:t>
      </w:r>
      <w:r w:rsidR="00B3153F">
        <w:rPr>
          <w:rFonts w:ascii="Times New Roman" w:hAnsi="Times New Roman" w:cs="Times New Roman"/>
          <w:color w:val="24292E"/>
          <w:sz w:val="24"/>
          <w:szCs w:val="24"/>
          <w:shd w:val="clear" w:color="auto" w:fill="FFFFFF"/>
        </w:rPr>
        <w:t xml:space="preserve">high-risk </w:t>
      </w:r>
      <w:r w:rsidR="00213167">
        <w:rPr>
          <w:rFonts w:ascii="Times New Roman" w:hAnsi="Times New Roman" w:cs="Times New Roman"/>
          <w:color w:val="24292E"/>
          <w:sz w:val="24"/>
          <w:szCs w:val="24"/>
          <w:shd w:val="clear" w:color="auto" w:fill="FFFFFF"/>
        </w:rPr>
        <w:t xml:space="preserve">of organ </w:t>
      </w:r>
      <w:r w:rsidR="00213167" w:rsidRPr="00213167">
        <w:rPr>
          <w:rFonts w:ascii="Times New Roman" w:hAnsi="Times New Roman" w:cs="Times New Roman"/>
          <w:color w:val="24292E"/>
          <w:sz w:val="24"/>
          <w:szCs w:val="24"/>
          <w:shd w:val="clear" w:color="auto" w:fill="FFFFFF"/>
        </w:rPr>
        <w:t>dysfunction</w:t>
      </w:r>
      <w:r w:rsidR="00213167">
        <w:rPr>
          <w:rFonts w:ascii="Times New Roman" w:hAnsi="Times New Roman" w:cs="Times New Roman"/>
          <w:color w:val="24292E"/>
          <w:sz w:val="24"/>
          <w:szCs w:val="24"/>
          <w:shd w:val="clear" w:color="auto" w:fill="FFFFFF"/>
        </w:rPr>
        <w:t>.</w:t>
      </w:r>
      <w:r w:rsidR="00B3153F">
        <w:rPr>
          <w:rFonts w:ascii="Times New Roman" w:hAnsi="Times New Roman" w:cs="Times New Roman"/>
          <w:color w:val="24292E"/>
          <w:sz w:val="24"/>
          <w:szCs w:val="24"/>
          <w:shd w:val="clear" w:color="auto" w:fill="FFFFFF"/>
        </w:rPr>
        <w:t xml:space="preserve"> The </w:t>
      </w:r>
      <w:proofErr w:type="spellStart"/>
      <w:r w:rsidR="00B3153F">
        <w:rPr>
          <w:rFonts w:ascii="Times New Roman" w:hAnsi="Times New Roman" w:cs="Times New Roman"/>
          <w:color w:val="24292E"/>
          <w:sz w:val="24"/>
          <w:szCs w:val="24"/>
          <w:shd w:val="clear" w:color="auto" w:fill="FFFFFF"/>
        </w:rPr>
        <w:t>qSOFA</w:t>
      </w:r>
      <w:proofErr w:type="spellEnd"/>
      <w:r w:rsidR="00B3153F">
        <w:rPr>
          <w:rFonts w:ascii="Times New Roman" w:hAnsi="Times New Roman" w:cs="Times New Roman"/>
          <w:color w:val="24292E"/>
          <w:sz w:val="24"/>
          <w:szCs w:val="24"/>
          <w:shd w:val="clear" w:color="auto" w:fill="FFFFFF"/>
        </w:rPr>
        <w:t xml:space="preserve"> score contains three parameters</w:t>
      </w:r>
      <w:r w:rsidR="00213167">
        <w:rPr>
          <w:rFonts w:ascii="Times New Roman" w:hAnsi="Times New Roman" w:cs="Times New Roman"/>
          <w:color w:val="24292E"/>
          <w:sz w:val="24"/>
          <w:szCs w:val="24"/>
          <w:shd w:val="clear" w:color="auto" w:fill="FFFFFF"/>
        </w:rPr>
        <w:t>:</w:t>
      </w:r>
      <w:r w:rsidR="00B3153F">
        <w:rPr>
          <w:rFonts w:ascii="Times New Roman" w:hAnsi="Times New Roman" w:cs="Times New Roman"/>
          <w:color w:val="24292E"/>
          <w:sz w:val="24"/>
          <w:szCs w:val="24"/>
          <w:shd w:val="clear" w:color="auto" w:fill="FFFFFF"/>
        </w:rPr>
        <w:t xml:space="preserve"> systolic blood pressure(SBP) </w:t>
      </w:r>
      <w:r w:rsidR="00213167">
        <w:rPr>
          <w:rFonts w:ascii="Times New Roman" w:hAnsi="Times New Roman" w:cs="Times New Roman"/>
          <w:color w:val="24292E"/>
          <w:sz w:val="24"/>
          <w:szCs w:val="24"/>
          <w:shd w:val="clear" w:color="auto" w:fill="FFFFFF"/>
        </w:rPr>
        <w:t xml:space="preserve">below </w:t>
      </w:r>
      <w:r w:rsidR="00B3153F">
        <w:rPr>
          <w:rFonts w:ascii="Times New Roman" w:hAnsi="Times New Roman" w:cs="Times New Roman"/>
          <w:color w:val="24292E"/>
          <w:sz w:val="24"/>
          <w:szCs w:val="24"/>
          <w:shd w:val="clear" w:color="auto" w:fill="FFFFFF"/>
        </w:rPr>
        <w:t>100 mm Hg</w:t>
      </w:r>
      <w:r w:rsidR="00213167">
        <w:rPr>
          <w:rFonts w:ascii="Times New Roman" w:hAnsi="Times New Roman" w:cs="Times New Roman"/>
          <w:color w:val="24292E"/>
          <w:sz w:val="24"/>
          <w:szCs w:val="24"/>
          <w:shd w:val="clear" w:color="auto" w:fill="FFFFFF"/>
        </w:rPr>
        <w:t>,</w:t>
      </w:r>
      <w:r w:rsidR="00B3153F">
        <w:rPr>
          <w:rFonts w:ascii="Times New Roman" w:hAnsi="Times New Roman" w:cs="Times New Roman"/>
          <w:color w:val="24292E"/>
          <w:sz w:val="24"/>
          <w:szCs w:val="24"/>
          <w:shd w:val="clear" w:color="auto" w:fill="FFFFFF"/>
        </w:rPr>
        <w:t xml:space="preserve"> a respiratory rate above 22/min</w:t>
      </w:r>
      <w:r w:rsidR="00213167">
        <w:rPr>
          <w:rFonts w:ascii="Times New Roman" w:hAnsi="Times New Roman" w:cs="Times New Roman"/>
          <w:color w:val="24292E"/>
          <w:sz w:val="24"/>
          <w:szCs w:val="24"/>
          <w:shd w:val="clear" w:color="auto" w:fill="FFFFFF"/>
        </w:rPr>
        <w:t xml:space="preserve"> and </w:t>
      </w:r>
      <w:r w:rsidR="00817ACD">
        <w:rPr>
          <w:rFonts w:ascii="Times New Roman" w:hAnsi="Times New Roman" w:cs="Times New Roman"/>
          <w:color w:val="24292E"/>
          <w:sz w:val="24"/>
          <w:szCs w:val="24"/>
          <w:shd w:val="clear" w:color="auto" w:fill="FFFFFF"/>
        </w:rPr>
        <w:t xml:space="preserve">an </w:t>
      </w:r>
      <w:r w:rsidR="00213167">
        <w:rPr>
          <w:rFonts w:ascii="Times New Roman" w:hAnsi="Times New Roman" w:cs="Times New Roman"/>
          <w:color w:val="24292E"/>
          <w:sz w:val="24"/>
          <w:szCs w:val="24"/>
          <w:shd w:val="clear" w:color="auto" w:fill="FFFFFF"/>
        </w:rPr>
        <w:t xml:space="preserve">altered consciousness, measured with a Glasgow Coma Scale(GCS) score below 15. </w:t>
      </w:r>
      <w:r w:rsidR="00817ACD">
        <w:rPr>
          <w:rFonts w:ascii="Times New Roman" w:hAnsi="Times New Roman" w:cs="Times New Roman"/>
          <w:color w:val="24292E"/>
          <w:sz w:val="24"/>
          <w:szCs w:val="24"/>
          <w:shd w:val="clear" w:color="auto" w:fill="FFFFFF"/>
        </w:rPr>
        <w:t>O</w:t>
      </w:r>
      <w:r w:rsidR="00213167">
        <w:rPr>
          <w:rFonts w:ascii="Times New Roman" w:hAnsi="Times New Roman" w:cs="Times New Roman"/>
          <w:color w:val="24292E"/>
          <w:sz w:val="24"/>
          <w:szCs w:val="24"/>
          <w:shd w:val="clear" w:color="auto" w:fill="FFFFFF"/>
        </w:rPr>
        <w:t>n</w:t>
      </w:r>
      <w:r w:rsidR="00557885">
        <w:rPr>
          <w:rFonts w:ascii="Times New Roman" w:hAnsi="Times New Roman" w:cs="Times New Roman"/>
          <w:color w:val="24292E"/>
          <w:sz w:val="24"/>
          <w:szCs w:val="24"/>
          <w:shd w:val="clear" w:color="auto" w:fill="FFFFFF"/>
        </w:rPr>
        <w:t>e</w:t>
      </w:r>
      <w:r w:rsidR="00213167">
        <w:rPr>
          <w:rFonts w:ascii="Times New Roman" w:hAnsi="Times New Roman" w:cs="Times New Roman"/>
          <w:color w:val="24292E"/>
          <w:sz w:val="24"/>
          <w:szCs w:val="24"/>
          <w:shd w:val="clear" w:color="auto" w:fill="FFFFFF"/>
        </w:rPr>
        <w:t xml:space="preserve"> point is awarded for each parameter </w:t>
      </w:r>
      <w:r w:rsidR="00B3153F">
        <w:rPr>
          <w:rFonts w:ascii="Times New Roman" w:hAnsi="Times New Roman" w:cs="Times New Roman"/>
          <w:color w:val="24292E"/>
          <w:sz w:val="24"/>
          <w:szCs w:val="24"/>
          <w:shd w:val="clear" w:color="auto" w:fill="FFFFFF"/>
        </w:rPr>
        <w:t>yielding a total score of 0-3. [7]</w:t>
      </w:r>
      <w:r w:rsidR="00213167">
        <w:rPr>
          <w:rFonts w:ascii="Times New Roman" w:hAnsi="Times New Roman" w:cs="Times New Roman"/>
          <w:color w:val="24292E"/>
          <w:sz w:val="24"/>
          <w:szCs w:val="24"/>
          <w:shd w:val="clear" w:color="auto" w:fill="FFFFFF"/>
        </w:rPr>
        <w:t xml:space="preserve">[8] </w:t>
      </w:r>
      <w:r w:rsidR="00557885">
        <w:rPr>
          <w:rFonts w:ascii="Times New Roman" w:hAnsi="Times New Roman" w:cs="Times New Roman"/>
          <w:color w:val="24292E"/>
          <w:sz w:val="24"/>
          <w:szCs w:val="24"/>
          <w:shd w:val="clear" w:color="auto" w:fill="FFFFFF"/>
        </w:rPr>
        <w:t xml:space="preserve"> The </w:t>
      </w:r>
      <w:proofErr w:type="spellStart"/>
      <w:r w:rsidR="00557885">
        <w:rPr>
          <w:rFonts w:ascii="Times New Roman" w:hAnsi="Times New Roman" w:cs="Times New Roman"/>
          <w:color w:val="24292E"/>
          <w:sz w:val="24"/>
          <w:szCs w:val="24"/>
          <w:shd w:val="clear" w:color="auto" w:fill="FFFFFF"/>
        </w:rPr>
        <w:t>qSOFA</w:t>
      </w:r>
      <w:proofErr w:type="spellEnd"/>
      <w:r w:rsidR="00557885">
        <w:rPr>
          <w:rFonts w:ascii="Times New Roman" w:hAnsi="Times New Roman" w:cs="Times New Roman"/>
          <w:color w:val="24292E"/>
          <w:sz w:val="24"/>
          <w:szCs w:val="24"/>
          <w:shd w:val="clear" w:color="auto" w:fill="FFFFFF"/>
        </w:rPr>
        <w:t xml:space="preserve"> score has also been shown to be able to predict mortality when used both in prehospital care[2] and used as a repeated evaluation during hospitalization.[1] </w:t>
      </w:r>
      <w:r w:rsidR="000B079C">
        <w:rPr>
          <w:rFonts w:ascii="Times New Roman" w:hAnsi="Times New Roman" w:cs="Times New Roman"/>
          <w:color w:val="24292E"/>
          <w:sz w:val="24"/>
          <w:szCs w:val="24"/>
          <w:shd w:val="clear" w:color="auto" w:fill="FFFFFF"/>
        </w:rPr>
        <w:t xml:space="preserve">Another tool to </w:t>
      </w:r>
      <w:proofErr w:type="spellStart"/>
      <w:r w:rsidR="000B079C">
        <w:rPr>
          <w:rFonts w:ascii="Times New Roman" w:hAnsi="Times New Roman" w:cs="Times New Roman"/>
          <w:color w:val="24292E"/>
          <w:sz w:val="24"/>
          <w:szCs w:val="24"/>
          <w:shd w:val="clear" w:color="auto" w:fill="FFFFFF"/>
        </w:rPr>
        <w:t>asses</w:t>
      </w:r>
      <w:proofErr w:type="spellEnd"/>
      <w:r w:rsidR="000B079C">
        <w:rPr>
          <w:rFonts w:ascii="Times New Roman" w:hAnsi="Times New Roman" w:cs="Times New Roman"/>
          <w:color w:val="24292E"/>
          <w:sz w:val="24"/>
          <w:szCs w:val="24"/>
          <w:shd w:val="clear" w:color="auto" w:fill="FFFFFF"/>
        </w:rPr>
        <w:t xml:space="preserve"> the severity of a </w:t>
      </w:r>
      <w:proofErr w:type="spellStart"/>
      <w:r w:rsidR="000B079C">
        <w:rPr>
          <w:rFonts w:ascii="Times New Roman" w:hAnsi="Times New Roman" w:cs="Times New Roman"/>
          <w:color w:val="24292E"/>
          <w:sz w:val="24"/>
          <w:szCs w:val="24"/>
          <w:shd w:val="clear" w:color="auto" w:fill="FFFFFF"/>
        </w:rPr>
        <w:t>patients</w:t>
      </w:r>
      <w:proofErr w:type="spellEnd"/>
      <w:r w:rsidR="000B079C">
        <w:rPr>
          <w:rFonts w:ascii="Times New Roman" w:hAnsi="Times New Roman" w:cs="Times New Roman"/>
          <w:color w:val="24292E"/>
          <w:sz w:val="24"/>
          <w:szCs w:val="24"/>
          <w:shd w:val="clear" w:color="auto" w:fill="FFFFFF"/>
        </w:rPr>
        <w:t xml:space="preserve"> condition due to trauma is the </w:t>
      </w:r>
      <w:r w:rsidR="000B079C" w:rsidRPr="000B079C">
        <w:rPr>
          <w:rFonts w:ascii="Times New Roman" w:hAnsi="Times New Roman" w:cs="Times New Roman"/>
          <w:color w:val="24292E"/>
          <w:sz w:val="24"/>
          <w:szCs w:val="24"/>
          <w:shd w:val="clear" w:color="auto" w:fill="FFFFFF"/>
        </w:rPr>
        <w:t>Triage Revised Trauma Score (T-RTS)</w:t>
      </w:r>
      <w:r w:rsidR="000B079C">
        <w:rPr>
          <w:rFonts w:ascii="Times New Roman" w:hAnsi="Times New Roman" w:cs="Times New Roman"/>
          <w:color w:val="24292E"/>
          <w:sz w:val="24"/>
          <w:szCs w:val="24"/>
          <w:shd w:val="clear" w:color="auto" w:fill="FFFFFF"/>
        </w:rPr>
        <w:t xml:space="preserve"> composed of the same parameters as </w:t>
      </w:r>
      <w:proofErr w:type="spellStart"/>
      <w:r w:rsidR="000B079C">
        <w:rPr>
          <w:rFonts w:ascii="Times New Roman" w:hAnsi="Times New Roman" w:cs="Times New Roman"/>
          <w:color w:val="24292E"/>
          <w:sz w:val="24"/>
          <w:szCs w:val="24"/>
          <w:shd w:val="clear" w:color="auto" w:fill="FFFFFF"/>
        </w:rPr>
        <w:t>qSOFA</w:t>
      </w:r>
      <w:proofErr w:type="spellEnd"/>
      <w:r w:rsidR="00CC7588">
        <w:rPr>
          <w:rFonts w:ascii="Times New Roman" w:hAnsi="Times New Roman" w:cs="Times New Roman"/>
          <w:color w:val="24292E"/>
          <w:sz w:val="24"/>
          <w:szCs w:val="24"/>
          <w:shd w:val="clear" w:color="auto" w:fill="FFFFFF"/>
        </w:rPr>
        <w:t>, GCS, SBP and RR</w:t>
      </w:r>
      <w:r w:rsidR="000B079C">
        <w:rPr>
          <w:rFonts w:ascii="Times New Roman" w:hAnsi="Times New Roman" w:cs="Times New Roman"/>
          <w:color w:val="24292E"/>
          <w:sz w:val="24"/>
          <w:szCs w:val="24"/>
          <w:shd w:val="clear" w:color="auto" w:fill="FFFFFF"/>
        </w:rPr>
        <w:t xml:space="preserve"> but with a score of 0-4 for each parameter</w:t>
      </w:r>
      <w:r w:rsidR="00963C8A">
        <w:rPr>
          <w:rFonts w:ascii="Times New Roman" w:hAnsi="Times New Roman" w:cs="Times New Roman"/>
          <w:color w:val="24292E"/>
          <w:sz w:val="24"/>
          <w:szCs w:val="24"/>
          <w:shd w:val="clear" w:color="auto" w:fill="FFFFFF"/>
        </w:rPr>
        <w:t xml:space="preserve"> adding up to a total of 0-12</w:t>
      </w:r>
      <w:r w:rsidR="000B079C">
        <w:rPr>
          <w:rFonts w:ascii="Times New Roman" w:hAnsi="Times New Roman" w:cs="Times New Roman"/>
          <w:color w:val="24292E"/>
          <w:sz w:val="24"/>
          <w:szCs w:val="24"/>
          <w:shd w:val="clear" w:color="auto" w:fill="FFFFFF"/>
        </w:rPr>
        <w:t>.[</w:t>
      </w:r>
      <w:r w:rsidR="00963C8A">
        <w:rPr>
          <w:rFonts w:ascii="Times New Roman" w:hAnsi="Times New Roman" w:cs="Times New Roman"/>
          <w:color w:val="24292E"/>
          <w:sz w:val="24"/>
          <w:szCs w:val="24"/>
          <w:shd w:val="clear" w:color="auto" w:fill="FFFFFF"/>
        </w:rPr>
        <w:t>10]</w:t>
      </w:r>
      <w:r w:rsidR="00CC7588">
        <w:rPr>
          <w:rFonts w:ascii="Times New Roman" w:hAnsi="Times New Roman" w:cs="Times New Roman"/>
          <w:color w:val="24292E"/>
          <w:sz w:val="24"/>
          <w:szCs w:val="24"/>
          <w:shd w:val="clear" w:color="auto" w:fill="FFFFFF"/>
        </w:rPr>
        <w:t xml:space="preserve"> However t</w:t>
      </w:r>
      <w:r w:rsidR="00963C8A">
        <w:rPr>
          <w:rFonts w:ascii="Times New Roman" w:hAnsi="Times New Roman" w:cs="Times New Roman"/>
          <w:color w:val="24292E"/>
          <w:sz w:val="24"/>
          <w:szCs w:val="24"/>
          <w:shd w:val="clear" w:color="auto" w:fill="FFFFFF"/>
        </w:rPr>
        <w:t xml:space="preserve">here are some </w:t>
      </w:r>
      <w:r w:rsidR="00CC7588">
        <w:rPr>
          <w:rFonts w:ascii="Times New Roman" w:hAnsi="Times New Roman" w:cs="Times New Roman"/>
          <w:color w:val="24292E"/>
          <w:sz w:val="24"/>
          <w:szCs w:val="24"/>
          <w:shd w:val="clear" w:color="auto" w:fill="FFFFFF"/>
        </w:rPr>
        <w:t>articles raising concerns about the sensitivity of the T-RTS depending on the type of injury. [3][11]</w:t>
      </w:r>
    </w:p>
    <w:p w14:paraId="027CB45A" w14:textId="013006BC" w:rsidR="00656ED1" w:rsidRDefault="00CC7588" w:rsidP="0062456A">
      <w:pPr>
        <w:spacing w:line="360" w:lineRule="auto"/>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It should be noted that the majority of the research done on this topic has been performed in high income countries and it is thus not clear if the results are also applicable in low resource settings</w:t>
      </w:r>
      <w:r w:rsidR="00656ED1">
        <w:rPr>
          <w:rFonts w:ascii="Times New Roman" w:hAnsi="Times New Roman" w:cs="Times New Roman"/>
          <w:color w:val="24292E"/>
          <w:sz w:val="24"/>
          <w:szCs w:val="24"/>
          <w:shd w:val="clear" w:color="auto" w:fill="FFFFFF"/>
        </w:rPr>
        <w:t xml:space="preserve">, </w:t>
      </w:r>
      <w:r w:rsidR="00656ED1">
        <w:rPr>
          <w:rFonts w:ascii="Times New Roman" w:hAnsi="Times New Roman" w:cs="Times New Roman"/>
          <w:color w:val="24292E"/>
          <w:sz w:val="24"/>
          <w:szCs w:val="24"/>
          <w:shd w:val="clear" w:color="auto" w:fill="FFFFFF"/>
        </w:rPr>
        <w:lastRenderedPageBreak/>
        <w:t>w</w:t>
      </w:r>
      <w:r>
        <w:rPr>
          <w:rFonts w:ascii="Times New Roman" w:hAnsi="Times New Roman" w:cs="Times New Roman"/>
          <w:color w:val="24292E"/>
          <w:sz w:val="24"/>
          <w:szCs w:val="24"/>
          <w:shd w:val="clear" w:color="auto" w:fill="FFFFFF"/>
        </w:rPr>
        <w:t>hich stand to benefit the most</w:t>
      </w:r>
      <w:r w:rsidR="00656ED1">
        <w:rPr>
          <w:rFonts w:ascii="Times New Roman" w:hAnsi="Times New Roman" w:cs="Times New Roman"/>
          <w:color w:val="24292E"/>
          <w:sz w:val="24"/>
          <w:szCs w:val="24"/>
          <w:shd w:val="clear" w:color="auto" w:fill="FFFFFF"/>
        </w:rPr>
        <w:t xml:space="preserve"> of a scoring system to be able to prioritize the limited resources at hand.</w:t>
      </w:r>
    </w:p>
    <w:p w14:paraId="2A7F04AC" w14:textId="2DFCF4A2" w:rsidR="001A017E" w:rsidRPr="001A017E" w:rsidRDefault="001A017E" w:rsidP="0062456A">
      <w:pPr>
        <w:spacing w:line="360" w:lineRule="auto"/>
        <w:rPr>
          <w:rFonts w:ascii="Times New Roman" w:hAnsi="Times New Roman" w:cs="Times New Roman"/>
          <w:b/>
          <w:bCs/>
          <w:color w:val="24292E"/>
          <w:sz w:val="28"/>
          <w:szCs w:val="28"/>
          <w:u w:val="single"/>
          <w:shd w:val="clear" w:color="auto" w:fill="FFFFFF"/>
        </w:rPr>
      </w:pPr>
      <w:r w:rsidRPr="001A017E">
        <w:rPr>
          <w:rFonts w:ascii="Times New Roman" w:hAnsi="Times New Roman" w:cs="Times New Roman"/>
          <w:b/>
          <w:bCs/>
          <w:color w:val="24292E"/>
          <w:sz w:val="28"/>
          <w:szCs w:val="28"/>
          <w:u w:val="single"/>
          <w:shd w:val="clear" w:color="auto" w:fill="FFFFFF"/>
        </w:rPr>
        <w:t>Aim</w:t>
      </w:r>
    </w:p>
    <w:p w14:paraId="69AC47ED" w14:textId="1212F2D8" w:rsidR="001C4C3F" w:rsidRPr="00656ED1" w:rsidRDefault="00656ED1" w:rsidP="0062456A">
      <w:pPr>
        <w:spacing w:line="360" w:lineRule="auto"/>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w:t>
      </w:r>
      <w:r w:rsidRPr="00656ED1">
        <w:rPr>
          <w:rFonts w:ascii="Times New Roman" w:hAnsi="Times New Roman" w:cs="Times New Roman"/>
          <w:color w:val="24292E"/>
          <w:sz w:val="24"/>
          <w:szCs w:val="24"/>
          <w:shd w:val="clear" w:color="auto" w:fill="FFFFFF"/>
        </w:rPr>
        <w:t xml:space="preserve">he aim of this article is to evaluate the predictive accuracy of </w:t>
      </w:r>
      <w:proofErr w:type="spellStart"/>
      <w:r w:rsidRPr="00656ED1">
        <w:rPr>
          <w:rFonts w:ascii="Times New Roman" w:hAnsi="Times New Roman" w:cs="Times New Roman"/>
          <w:color w:val="24292E"/>
          <w:sz w:val="24"/>
          <w:szCs w:val="24"/>
          <w:shd w:val="clear" w:color="auto" w:fill="FFFFFF"/>
        </w:rPr>
        <w:t>qSOFA</w:t>
      </w:r>
      <w:proofErr w:type="spellEnd"/>
      <w:r w:rsidRPr="00656ED1">
        <w:rPr>
          <w:rFonts w:ascii="Times New Roman" w:hAnsi="Times New Roman" w:cs="Times New Roman"/>
          <w:color w:val="24292E"/>
          <w:sz w:val="24"/>
          <w:szCs w:val="24"/>
          <w:shd w:val="clear" w:color="auto" w:fill="FFFFFF"/>
        </w:rPr>
        <w:t xml:space="preserve"> on trauma patients in rural India, and if needed adjust the relative importance of its ingoing parameters.</w:t>
      </w:r>
      <w:r>
        <w:rPr>
          <w:rFonts w:ascii="Times New Roman" w:hAnsi="Times New Roman" w:cs="Times New Roman"/>
          <w:color w:val="24292E"/>
          <w:sz w:val="24"/>
          <w:szCs w:val="24"/>
          <w:shd w:val="clear" w:color="auto" w:fill="FFFFFF"/>
        </w:rPr>
        <w:t xml:space="preserve"> A retrospective analysis of</w:t>
      </w:r>
      <w:r w:rsidRPr="00656ED1">
        <w:rPr>
          <w:rFonts w:ascii="Times New Roman" w:hAnsi="Times New Roman" w:cs="Times New Roman"/>
          <w:color w:val="24292E"/>
          <w:sz w:val="24"/>
          <w:szCs w:val="24"/>
          <w:shd w:val="clear" w:color="auto" w:fill="FFFFFF"/>
        </w:rPr>
        <w:t xml:space="preserve"> </w:t>
      </w:r>
      <w:r>
        <w:rPr>
          <w:rFonts w:ascii="Times New Roman" w:hAnsi="Times New Roman" w:cs="Times New Roman"/>
          <w:color w:val="24292E"/>
          <w:sz w:val="24"/>
          <w:szCs w:val="24"/>
          <w:shd w:val="clear" w:color="auto" w:fill="FFFFFF"/>
        </w:rPr>
        <w:t xml:space="preserve">the </w:t>
      </w:r>
      <w:r w:rsidRPr="00656ED1">
        <w:rPr>
          <w:rFonts w:ascii="Times New Roman" w:hAnsi="Times New Roman" w:cs="Times New Roman"/>
          <w:color w:val="24292E"/>
          <w:sz w:val="24"/>
          <w:szCs w:val="24"/>
          <w:shd w:val="clear" w:color="auto" w:fill="FFFFFF"/>
        </w:rPr>
        <w:t xml:space="preserve">data </w:t>
      </w:r>
      <w:r>
        <w:rPr>
          <w:rFonts w:ascii="Times New Roman" w:hAnsi="Times New Roman" w:cs="Times New Roman"/>
          <w:color w:val="24292E"/>
          <w:sz w:val="24"/>
          <w:szCs w:val="24"/>
          <w:shd w:val="clear" w:color="auto" w:fill="FFFFFF"/>
        </w:rPr>
        <w:t>in</w:t>
      </w:r>
      <w:r w:rsidRPr="00656ED1">
        <w:rPr>
          <w:rFonts w:ascii="Times New Roman" w:hAnsi="Times New Roman" w:cs="Times New Roman"/>
          <w:color w:val="24292E"/>
          <w:sz w:val="24"/>
          <w:szCs w:val="24"/>
          <w:shd w:val="clear" w:color="auto" w:fill="FFFFFF"/>
        </w:rPr>
        <w:t xml:space="preserve"> the TITOC cohort</w:t>
      </w:r>
      <w:r>
        <w:rPr>
          <w:rFonts w:ascii="Times New Roman" w:hAnsi="Times New Roman" w:cs="Times New Roman"/>
          <w:color w:val="24292E"/>
          <w:sz w:val="24"/>
          <w:szCs w:val="24"/>
          <w:shd w:val="clear" w:color="auto" w:fill="FFFFFF"/>
        </w:rPr>
        <w:t xml:space="preserve"> was performed and t</w:t>
      </w:r>
      <w:r w:rsidRPr="00656ED1">
        <w:rPr>
          <w:rFonts w:ascii="Times New Roman" w:hAnsi="Times New Roman" w:cs="Times New Roman"/>
          <w:color w:val="24292E"/>
          <w:sz w:val="24"/>
          <w:szCs w:val="24"/>
          <w:shd w:val="clear" w:color="auto" w:fill="FFFFFF"/>
        </w:rPr>
        <w:t xml:space="preserve">he primary outcome of the study </w:t>
      </w:r>
      <w:r>
        <w:rPr>
          <w:rFonts w:ascii="Times New Roman" w:hAnsi="Times New Roman" w:cs="Times New Roman"/>
          <w:color w:val="24292E"/>
          <w:sz w:val="24"/>
          <w:szCs w:val="24"/>
          <w:shd w:val="clear" w:color="auto" w:fill="FFFFFF"/>
        </w:rPr>
        <w:t>was</w:t>
      </w:r>
      <w:r w:rsidRPr="00656ED1">
        <w:rPr>
          <w:rFonts w:ascii="Times New Roman" w:hAnsi="Times New Roman" w:cs="Times New Roman"/>
          <w:color w:val="24292E"/>
          <w:sz w:val="24"/>
          <w:szCs w:val="24"/>
          <w:shd w:val="clear" w:color="auto" w:fill="FFFFFF"/>
        </w:rPr>
        <w:t xml:space="preserve"> admission to the ICU during hospitalization.</w:t>
      </w:r>
    </w:p>
    <w:p w14:paraId="349AD085" w14:textId="055985A7" w:rsidR="00ED3A41" w:rsidRPr="001A017E" w:rsidRDefault="001A017E" w:rsidP="0062456A">
      <w:pPr>
        <w:spacing w:line="360" w:lineRule="auto"/>
        <w:rPr>
          <w:rFonts w:ascii="Times New Roman" w:hAnsi="Times New Roman" w:cs="Times New Roman"/>
          <w:b/>
          <w:bCs/>
          <w:sz w:val="32"/>
          <w:szCs w:val="32"/>
          <w:u w:val="single"/>
        </w:rPr>
      </w:pPr>
      <w:r w:rsidRPr="001A017E">
        <w:rPr>
          <w:rFonts w:ascii="Times New Roman" w:hAnsi="Times New Roman" w:cs="Times New Roman"/>
          <w:b/>
          <w:bCs/>
          <w:sz w:val="32"/>
          <w:szCs w:val="32"/>
          <w:u w:val="single"/>
        </w:rPr>
        <w:t>Method</w:t>
      </w:r>
    </w:p>
    <w:p w14:paraId="139CAE0D" w14:textId="56ACC10F" w:rsidR="001A017E" w:rsidRDefault="001A017E" w:rsidP="0062456A">
      <w:pPr>
        <w:spacing w:line="360" w:lineRule="auto"/>
        <w:rPr>
          <w:rFonts w:ascii="Times New Roman" w:hAnsi="Times New Roman" w:cs="Times New Roman"/>
          <w:b/>
          <w:bCs/>
          <w:sz w:val="24"/>
          <w:szCs w:val="24"/>
          <w:u w:val="single"/>
        </w:rPr>
      </w:pPr>
      <w:r w:rsidRPr="001A017E">
        <w:rPr>
          <w:rFonts w:ascii="Times New Roman" w:hAnsi="Times New Roman" w:cs="Times New Roman"/>
          <w:b/>
          <w:bCs/>
          <w:sz w:val="24"/>
          <w:szCs w:val="24"/>
          <w:u w:val="single"/>
        </w:rPr>
        <w:t>Source of data</w:t>
      </w:r>
    </w:p>
    <w:p w14:paraId="7FBC2B40" w14:textId="3007773B" w:rsidR="001A017E" w:rsidRPr="001A017E" w:rsidRDefault="001A017E" w:rsidP="0062456A">
      <w:pPr>
        <w:spacing w:line="360" w:lineRule="auto"/>
        <w:rPr>
          <w:rFonts w:ascii="Times New Roman" w:hAnsi="Times New Roman" w:cs="Times New Roman"/>
          <w:sz w:val="24"/>
          <w:szCs w:val="24"/>
        </w:rPr>
      </w:pPr>
      <w:r w:rsidRPr="001A017E">
        <w:rPr>
          <w:rFonts w:ascii="Times New Roman" w:hAnsi="Times New Roman" w:cs="Times New Roman"/>
          <w:sz w:val="24"/>
          <w:szCs w:val="24"/>
        </w:rPr>
        <w:t>For this paper a retrospective analysis of the observational Towards Improved Trauma Care Outcomes in India (TITCO) cohort was performed</w:t>
      </w:r>
      <w:r>
        <w:rPr>
          <w:rFonts w:ascii="Times New Roman" w:hAnsi="Times New Roman" w:cs="Times New Roman"/>
          <w:sz w:val="24"/>
          <w:szCs w:val="24"/>
        </w:rPr>
        <w:t xml:space="preserve"> [12]. </w:t>
      </w:r>
      <w:r w:rsidRPr="001A017E">
        <w:rPr>
          <w:rFonts w:ascii="Times New Roman" w:hAnsi="Times New Roman" w:cs="Times New Roman"/>
          <w:sz w:val="24"/>
          <w:szCs w:val="24"/>
        </w:rPr>
        <w:t xml:space="preserve">The data for TITCO was collected during July 2013 to December 2015 and contains patients admitted to four public university hospitals. The hospitals included were; Jai Prakash Narayan Apex Trauma Center (JPNATC), connected to the All India Institute of Medical Sciences in New Delhi, a large center solely dedicated to trauma care; King Edward Memorial hospital (KEM) in Mumbai, a tertiary level hospital but without dedicated trauma wards; Lokmanya Tilak Municipal General Hospital (LTMGH) in Mumbai, a tertiary lever public university hospital with a smaller dedicated trauma ward; and Seth </w:t>
      </w:r>
      <w:proofErr w:type="spellStart"/>
      <w:r w:rsidRPr="001A017E">
        <w:rPr>
          <w:rFonts w:ascii="Times New Roman" w:hAnsi="Times New Roman" w:cs="Times New Roman"/>
          <w:sz w:val="24"/>
          <w:szCs w:val="24"/>
        </w:rPr>
        <w:t>Sukhlal</w:t>
      </w:r>
      <w:proofErr w:type="spellEnd"/>
      <w:r w:rsidRPr="001A017E">
        <w:rPr>
          <w:rFonts w:ascii="Times New Roman" w:hAnsi="Times New Roman" w:cs="Times New Roman"/>
          <w:sz w:val="24"/>
          <w:szCs w:val="24"/>
        </w:rPr>
        <w:t xml:space="preserve"> </w:t>
      </w:r>
      <w:proofErr w:type="spellStart"/>
      <w:r w:rsidRPr="001A017E">
        <w:rPr>
          <w:rFonts w:ascii="Times New Roman" w:hAnsi="Times New Roman" w:cs="Times New Roman"/>
          <w:sz w:val="24"/>
          <w:szCs w:val="24"/>
        </w:rPr>
        <w:t>Karnani</w:t>
      </w:r>
      <w:proofErr w:type="spellEnd"/>
      <w:r w:rsidRPr="001A017E">
        <w:rPr>
          <w:rFonts w:ascii="Times New Roman" w:hAnsi="Times New Roman" w:cs="Times New Roman"/>
          <w:sz w:val="24"/>
          <w:szCs w:val="24"/>
        </w:rPr>
        <w:t xml:space="preserve"> Memorial Hospital (SSKM) in Kolkata, connected to The Institute of Post-Graduate Medical Education and Research, a tertiary level public university hospital without a ward dedicated solely to trauma.</w:t>
      </w:r>
    </w:p>
    <w:p w14:paraId="6F9FD46A" w14:textId="7CCDD6F3" w:rsidR="001A017E" w:rsidRDefault="001A017E" w:rsidP="0062456A">
      <w:pPr>
        <w:spacing w:line="360" w:lineRule="auto"/>
        <w:rPr>
          <w:rFonts w:ascii="Times New Roman" w:hAnsi="Times New Roman" w:cs="Times New Roman"/>
          <w:b/>
          <w:bCs/>
          <w:sz w:val="24"/>
          <w:szCs w:val="24"/>
          <w:u w:val="single"/>
        </w:rPr>
      </w:pPr>
      <w:r w:rsidRPr="001A017E">
        <w:rPr>
          <w:rFonts w:ascii="Times New Roman" w:hAnsi="Times New Roman" w:cs="Times New Roman"/>
          <w:b/>
          <w:bCs/>
          <w:sz w:val="24"/>
          <w:szCs w:val="24"/>
          <w:u w:val="single"/>
        </w:rPr>
        <w:t>Participants</w:t>
      </w:r>
    </w:p>
    <w:p w14:paraId="269030DA" w14:textId="454EA898" w:rsidR="001A017E" w:rsidRPr="001A017E" w:rsidRDefault="001A017E" w:rsidP="0062456A">
      <w:pPr>
        <w:spacing w:line="360" w:lineRule="auto"/>
        <w:rPr>
          <w:rFonts w:ascii="Times New Roman" w:hAnsi="Times New Roman" w:cs="Times New Roman"/>
          <w:sz w:val="24"/>
          <w:szCs w:val="24"/>
        </w:rPr>
      </w:pPr>
      <w:r w:rsidRPr="001A017E">
        <w:rPr>
          <w:rFonts w:ascii="Times New Roman" w:hAnsi="Times New Roman" w:cs="Times New Roman"/>
          <w:sz w:val="24"/>
          <w:szCs w:val="24"/>
        </w:rPr>
        <w:t>The TITCO cohort include patients with a history of trauma who either got admitted to one of the participating hospitals or who died between arrival and admission. Patients with isolated injuries to limbs and that therefore were treated by orthopedics and not within the general trauma care were excluded from the database a</w:t>
      </w:r>
      <w:r>
        <w:rPr>
          <w:rFonts w:ascii="Times New Roman" w:hAnsi="Times New Roman" w:cs="Times New Roman"/>
          <w:sz w:val="24"/>
          <w:szCs w:val="24"/>
        </w:rPr>
        <w:t>s</w:t>
      </w:r>
      <w:r w:rsidRPr="001A017E">
        <w:rPr>
          <w:rFonts w:ascii="Times New Roman" w:hAnsi="Times New Roman" w:cs="Times New Roman"/>
          <w:sz w:val="24"/>
          <w:szCs w:val="24"/>
        </w:rPr>
        <w:t xml:space="preserve"> well as patients who were dead on arrival.</w:t>
      </w:r>
    </w:p>
    <w:p w14:paraId="1183434D" w14:textId="0ED4698C" w:rsidR="001A017E" w:rsidRDefault="001A017E" w:rsidP="0062456A">
      <w:pPr>
        <w:spacing w:line="360" w:lineRule="auto"/>
        <w:rPr>
          <w:rFonts w:ascii="Times New Roman" w:hAnsi="Times New Roman" w:cs="Times New Roman"/>
          <w:b/>
          <w:bCs/>
          <w:sz w:val="24"/>
          <w:szCs w:val="24"/>
          <w:u w:val="single"/>
        </w:rPr>
      </w:pPr>
      <w:r w:rsidRPr="001A017E">
        <w:rPr>
          <w:rFonts w:ascii="Times New Roman" w:hAnsi="Times New Roman" w:cs="Times New Roman"/>
          <w:b/>
          <w:bCs/>
          <w:sz w:val="24"/>
          <w:szCs w:val="24"/>
          <w:u w:val="single"/>
        </w:rPr>
        <w:t>Outcome</w:t>
      </w:r>
    </w:p>
    <w:p w14:paraId="34E20A86" w14:textId="4B4D6C99" w:rsidR="001A017E" w:rsidRPr="001A017E" w:rsidRDefault="001A017E" w:rsidP="0062456A">
      <w:pPr>
        <w:spacing w:line="360" w:lineRule="auto"/>
        <w:rPr>
          <w:rFonts w:ascii="Times New Roman" w:hAnsi="Times New Roman" w:cs="Times New Roman"/>
          <w:sz w:val="24"/>
          <w:szCs w:val="24"/>
        </w:rPr>
      </w:pPr>
      <w:r w:rsidRPr="001A017E">
        <w:rPr>
          <w:rFonts w:ascii="Times New Roman" w:hAnsi="Times New Roman" w:cs="Times New Roman"/>
          <w:sz w:val="24"/>
          <w:szCs w:val="24"/>
        </w:rPr>
        <w:t>The primary outcome of interest was admission to the ICU during hospitalization.</w:t>
      </w:r>
    </w:p>
    <w:p w14:paraId="4762508F" w14:textId="7ABDADFB" w:rsidR="001A017E" w:rsidRDefault="001A017E" w:rsidP="0062456A">
      <w:pPr>
        <w:spacing w:line="360" w:lineRule="auto"/>
        <w:rPr>
          <w:rFonts w:ascii="Times New Roman" w:hAnsi="Times New Roman" w:cs="Times New Roman"/>
          <w:b/>
          <w:bCs/>
          <w:sz w:val="24"/>
          <w:szCs w:val="24"/>
          <w:u w:val="single"/>
        </w:rPr>
      </w:pPr>
      <w:r w:rsidRPr="001A017E">
        <w:rPr>
          <w:rFonts w:ascii="Times New Roman" w:hAnsi="Times New Roman" w:cs="Times New Roman"/>
          <w:b/>
          <w:bCs/>
          <w:sz w:val="24"/>
          <w:szCs w:val="24"/>
          <w:u w:val="single"/>
        </w:rPr>
        <w:lastRenderedPageBreak/>
        <w:t>Predictors</w:t>
      </w:r>
    </w:p>
    <w:p w14:paraId="0DD7AA01" w14:textId="320BC3A8" w:rsidR="001A017E" w:rsidRPr="001A017E" w:rsidRDefault="001A017E" w:rsidP="0062456A">
      <w:pPr>
        <w:spacing w:line="360" w:lineRule="auto"/>
        <w:rPr>
          <w:rFonts w:ascii="Times New Roman" w:hAnsi="Times New Roman" w:cs="Times New Roman"/>
          <w:sz w:val="24"/>
          <w:szCs w:val="24"/>
        </w:rPr>
      </w:pPr>
      <w:r w:rsidRPr="001A017E">
        <w:rPr>
          <w:rFonts w:ascii="Times New Roman" w:hAnsi="Times New Roman" w:cs="Times New Roman"/>
          <w:sz w:val="24"/>
          <w:szCs w:val="24"/>
        </w:rPr>
        <w:t xml:space="preserve">For each patient included in the study the </w:t>
      </w:r>
      <w:proofErr w:type="spellStart"/>
      <w:r w:rsidRPr="001A017E">
        <w:rPr>
          <w:rFonts w:ascii="Times New Roman" w:hAnsi="Times New Roman" w:cs="Times New Roman"/>
          <w:sz w:val="24"/>
          <w:szCs w:val="24"/>
        </w:rPr>
        <w:t>qSOFA</w:t>
      </w:r>
      <w:proofErr w:type="spellEnd"/>
      <w:r w:rsidRPr="001A017E">
        <w:rPr>
          <w:rFonts w:ascii="Times New Roman" w:hAnsi="Times New Roman" w:cs="Times New Roman"/>
          <w:sz w:val="24"/>
          <w:szCs w:val="24"/>
        </w:rPr>
        <w:t xml:space="preserve"> score was calculated using data recorded on arrival to the hospital. The calculation of the </w:t>
      </w:r>
      <w:proofErr w:type="spellStart"/>
      <w:r w:rsidRPr="001A017E">
        <w:rPr>
          <w:rFonts w:ascii="Times New Roman" w:hAnsi="Times New Roman" w:cs="Times New Roman"/>
          <w:sz w:val="24"/>
          <w:szCs w:val="24"/>
        </w:rPr>
        <w:t>qSOFA</w:t>
      </w:r>
      <w:proofErr w:type="spellEnd"/>
      <w:r w:rsidRPr="001A017E">
        <w:rPr>
          <w:rFonts w:ascii="Times New Roman" w:hAnsi="Times New Roman" w:cs="Times New Roman"/>
          <w:sz w:val="24"/>
          <w:szCs w:val="24"/>
        </w:rPr>
        <w:t xml:space="preserve"> score includes a respiratory rate above 22, GCS below 15 and a systolic blood pressure below 100 where one point is awarded for meeting each of the specified </w:t>
      </w:r>
      <w:proofErr w:type="spellStart"/>
      <w:r w:rsidRPr="001A017E">
        <w:rPr>
          <w:rFonts w:ascii="Times New Roman" w:hAnsi="Times New Roman" w:cs="Times New Roman"/>
          <w:sz w:val="24"/>
          <w:szCs w:val="24"/>
        </w:rPr>
        <w:t>criterias</w:t>
      </w:r>
      <w:proofErr w:type="spellEnd"/>
      <w:r w:rsidRPr="001A017E">
        <w:rPr>
          <w:rFonts w:ascii="Times New Roman" w:hAnsi="Times New Roman" w:cs="Times New Roman"/>
          <w:sz w:val="24"/>
          <w:szCs w:val="24"/>
        </w:rPr>
        <w:t xml:space="preserve"> and thus yields a score of 0 to 3.</w:t>
      </w:r>
    </w:p>
    <w:p w14:paraId="59BBCE0F" w14:textId="61A4E450" w:rsidR="001A017E" w:rsidRPr="001A017E" w:rsidRDefault="001A017E" w:rsidP="0062456A">
      <w:pPr>
        <w:spacing w:line="360" w:lineRule="auto"/>
        <w:rPr>
          <w:rFonts w:ascii="Times New Roman" w:hAnsi="Times New Roman" w:cs="Times New Roman"/>
          <w:b/>
          <w:bCs/>
          <w:sz w:val="24"/>
          <w:szCs w:val="24"/>
          <w:u w:val="single"/>
        </w:rPr>
      </w:pPr>
      <w:r w:rsidRPr="001A017E">
        <w:rPr>
          <w:rFonts w:ascii="Times New Roman" w:hAnsi="Times New Roman" w:cs="Times New Roman"/>
          <w:b/>
          <w:bCs/>
          <w:sz w:val="24"/>
          <w:szCs w:val="24"/>
          <w:u w:val="single"/>
        </w:rPr>
        <w:t>Sample size</w:t>
      </w:r>
    </w:p>
    <w:p w14:paraId="48BE1BE8" w14:textId="38E7EE9A" w:rsidR="001A017E" w:rsidRDefault="001A017E" w:rsidP="0062456A">
      <w:pPr>
        <w:spacing w:line="360" w:lineRule="auto"/>
        <w:rPr>
          <w:rFonts w:ascii="Times New Roman" w:hAnsi="Times New Roman" w:cs="Times New Roman"/>
          <w:sz w:val="24"/>
          <w:szCs w:val="24"/>
        </w:rPr>
      </w:pPr>
      <w:r w:rsidRPr="001A017E">
        <w:rPr>
          <w:rFonts w:ascii="Times New Roman" w:hAnsi="Times New Roman" w:cs="Times New Roman"/>
          <w:sz w:val="24"/>
          <w:szCs w:val="24"/>
        </w:rPr>
        <w:t>We included all eligible patients in the TITCO cohort.</w:t>
      </w:r>
    </w:p>
    <w:p w14:paraId="0B4207EF" w14:textId="35059FFA" w:rsidR="001A017E" w:rsidRPr="001A017E" w:rsidRDefault="001A017E" w:rsidP="0062456A">
      <w:pPr>
        <w:spacing w:line="360" w:lineRule="auto"/>
        <w:rPr>
          <w:rFonts w:ascii="Times New Roman" w:hAnsi="Times New Roman" w:cs="Times New Roman"/>
          <w:b/>
          <w:bCs/>
          <w:sz w:val="24"/>
          <w:szCs w:val="24"/>
          <w:u w:val="single"/>
        </w:rPr>
      </w:pPr>
      <w:r w:rsidRPr="001A017E">
        <w:rPr>
          <w:rFonts w:ascii="Times New Roman" w:hAnsi="Times New Roman" w:cs="Times New Roman"/>
          <w:b/>
          <w:bCs/>
          <w:sz w:val="24"/>
          <w:szCs w:val="24"/>
          <w:u w:val="single"/>
        </w:rPr>
        <w:t>Missing data</w:t>
      </w:r>
    </w:p>
    <w:p w14:paraId="7F5862DF" w14:textId="1F723FC5" w:rsidR="001A017E" w:rsidRDefault="001A017E" w:rsidP="0062456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article we used complete-case analysis and only used data points where GCS, NBP and RR where reported. </w:t>
      </w:r>
    </w:p>
    <w:p w14:paraId="7BAC51DA" w14:textId="7F46013B" w:rsidR="001A017E" w:rsidRPr="001A017E" w:rsidRDefault="001A017E" w:rsidP="0062456A">
      <w:pPr>
        <w:spacing w:line="360" w:lineRule="auto"/>
        <w:rPr>
          <w:rFonts w:ascii="Times New Roman" w:hAnsi="Times New Roman" w:cs="Times New Roman"/>
          <w:b/>
          <w:bCs/>
          <w:sz w:val="24"/>
          <w:szCs w:val="24"/>
          <w:u w:val="single"/>
        </w:rPr>
      </w:pPr>
      <w:r w:rsidRPr="001A017E">
        <w:rPr>
          <w:rFonts w:ascii="Times New Roman" w:hAnsi="Times New Roman" w:cs="Times New Roman"/>
          <w:b/>
          <w:bCs/>
          <w:sz w:val="24"/>
          <w:szCs w:val="24"/>
          <w:u w:val="single"/>
        </w:rPr>
        <w:t>Statistical analysis methods</w:t>
      </w:r>
    </w:p>
    <w:p w14:paraId="1961CF64" w14:textId="5C41A538" w:rsidR="00ED3A41" w:rsidRDefault="001A017E" w:rsidP="0062456A">
      <w:pPr>
        <w:spacing w:line="360" w:lineRule="auto"/>
        <w:rPr>
          <w:rFonts w:ascii="Times New Roman" w:hAnsi="Times New Roman" w:cs="Times New Roman"/>
          <w:sz w:val="24"/>
          <w:szCs w:val="24"/>
        </w:rPr>
      </w:pPr>
      <w:r w:rsidRPr="001A017E">
        <w:rPr>
          <w:rFonts w:ascii="Times New Roman" w:hAnsi="Times New Roman" w:cs="Times New Roman"/>
          <w:sz w:val="24"/>
          <w:szCs w:val="24"/>
        </w:rPr>
        <w:t xml:space="preserve">We used R for all statistical analysis [RStudio]. We describe the sample characteristics using counts and percentages for qualitative variables and medians and interquartile ranges (IQR) for quantitative variables. The study sample was randomly split into training, validation, and test samples with 60%, 20%, and 20% of the observations in each sample respectively. We used the training sample to update </w:t>
      </w:r>
      <w:proofErr w:type="spellStart"/>
      <w:r w:rsidRPr="001A017E">
        <w:rPr>
          <w:rFonts w:ascii="Times New Roman" w:hAnsi="Times New Roman" w:cs="Times New Roman"/>
          <w:sz w:val="24"/>
          <w:szCs w:val="24"/>
        </w:rPr>
        <w:t>qSOFA</w:t>
      </w:r>
      <w:proofErr w:type="spellEnd"/>
      <w:r w:rsidRPr="001A017E">
        <w:rPr>
          <w:rFonts w:ascii="Times New Roman" w:hAnsi="Times New Roman" w:cs="Times New Roman"/>
          <w:sz w:val="24"/>
          <w:szCs w:val="24"/>
        </w:rPr>
        <w:t xml:space="preserve"> by </w:t>
      </w:r>
      <w:proofErr w:type="spellStart"/>
      <w:r w:rsidRPr="001A017E">
        <w:rPr>
          <w:rFonts w:ascii="Times New Roman" w:hAnsi="Times New Roman" w:cs="Times New Roman"/>
          <w:sz w:val="24"/>
          <w:szCs w:val="24"/>
        </w:rPr>
        <w:t>reestimating</w:t>
      </w:r>
      <w:proofErr w:type="spellEnd"/>
      <w:r w:rsidRPr="001A017E">
        <w:rPr>
          <w:rFonts w:ascii="Times New Roman" w:hAnsi="Times New Roman" w:cs="Times New Roman"/>
          <w:sz w:val="24"/>
          <w:szCs w:val="24"/>
        </w:rPr>
        <w:t xml:space="preserve"> the coefficients of the original predictors using logistic regression. We used the validation sample to identify optimal cutoffs - those who </w:t>
      </w:r>
      <w:proofErr w:type="spellStart"/>
      <w:r w:rsidRPr="001A017E">
        <w:rPr>
          <w:rFonts w:ascii="Times New Roman" w:hAnsi="Times New Roman" w:cs="Times New Roman"/>
          <w:sz w:val="24"/>
          <w:szCs w:val="24"/>
        </w:rPr>
        <w:t>maximised</w:t>
      </w:r>
      <w:proofErr w:type="spellEnd"/>
      <w:r w:rsidRPr="001A017E">
        <w:rPr>
          <w:rFonts w:ascii="Times New Roman" w:hAnsi="Times New Roman" w:cs="Times New Roman"/>
          <w:sz w:val="24"/>
          <w:szCs w:val="24"/>
        </w:rPr>
        <w:t xml:space="preserve"> the Youden index - for the original and updated </w:t>
      </w:r>
      <w:proofErr w:type="spellStart"/>
      <w:r w:rsidRPr="001A017E">
        <w:rPr>
          <w:rFonts w:ascii="Times New Roman" w:hAnsi="Times New Roman" w:cs="Times New Roman"/>
          <w:sz w:val="24"/>
          <w:szCs w:val="24"/>
        </w:rPr>
        <w:t>qSOFA</w:t>
      </w:r>
      <w:proofErr w:type="spellEnd"/>
      <w:r w:rsidRPr="001A017E">
        <w:rPr>
          <w:rFonts w:ascii="Times New Roman" w:hAnsi="Times New Roman" w:cs="Times New Roman"/>
          <w:sz w:val="24"/>
          <w:szCs w:val="24"/>
        </w:rPr>
        <w:t>. We used the test sample to assess and compare the performance of the two models. Bootstrapping was used to estimate 95% confidence intervals associated with point estimates.</w:t>
      </w:r>
    </w:p>
    <w:p w14:paraId="5D6C424A" w14:textId="31725EF4" w:rsidR="001A017E" w:rsidRPr="001A017E" w:rsidRDefault="001A017E" w:rsidP="0062456A">
      <w:pPr>
        <w:spacing w:line="360" w:lineRule="auto"/>
        <w:rPr>
          <w:rFonts w:ascii="Times New Roman" w:hAnsi="Times New Roman" w:cs="Times New Roman"/>
          <w:b/>
          <w:bCs/>
          <w:sz w:val="32"/>
          <w:szCs w:val="32"/>
          <w:u w:val="single"/>
        </w:rPr>
      </w:pPr>
      <w:r w:rsidRPr="001A017E">
        <w:rPr>
          <w:rFonts w:ascii="Times New Roman" w:hAnsi="Times New Roman" w:cs="Times New Roman"/>
          <w:b/>
          <w:bCs/>
          <w:sz w:val="32"/>
          <w:szCs w:val="32"/>
          <w:u w:val="single"/>
        </w:rPr>
        <w:t>Ethical considerations</w:t>
      </w:r>
    </w:p>
    <w:p w14:paraId="6B83D694" w14:textId="7C813A13" w:rsidR="001A017E" w:rsidRDefault="006E46B7" w:rsidP="0062456A">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study was performed on the open and anonymized TITOC observational cohort dataset. </w:t>
      </w:r>
      <w:r w:rsidRPr="006E46B7">
        <w:rPr>
          <w:rFonts w:ascii="Times New Roman" w:hAnsi="Times New Roman" w:cs="Times New Roman"/>
          <w:sz w:val="24"/>
          <w:szCs w:val="24"/>
        </w:rPr>
        <w:t xml:space="preserve">Ethics committees at all participating centers approved the </w:t>
      </w:r>
      <w:r>
        <w:rPr>
          <w:rFonts w:ascii="Times New Roman" w:hAnsi="Times New Roman" w:cs="Times New Roman"/>
          <w:sz w:val="24"/>
          <w:szCs w:val="24"/>
        </w:rPr>
        <w:t xml:space="preserve">gathering of data and all participants were given a waiver of consent for participation. </w:t>
      </w:r>
      <w:r w:rsidRPr="006E46B7">
        <w:rPr>
          <w:rFonts w:ascii="Times New Roman" w:hAnsi="Times New Roman" w:cs="Times New Roman"/>
          <w:sz w:val="24"/>
          <w:szCs w:val="24"/>
        </w:rPr>
        <w:t xml:space="preserve">(Lokmanya Tilak Municipal General Hospital, IEC/11/13; King Edward Memorial Hospital, IEC(I)/OUT/222/14; Seth </w:t>
      </w:r>
      <w:proofErr w:type="spellStart"/>
      <w:r w:rsidRPr="006E46B7">
        <w:rPr>
          <w:rFonts w:ascii="Times New Roman" w:hAnsi="Times New Roman" w:cs="Times New Roman"/>
          <w:sz w:val="24"/>
          <w:szCs w:val="24"/>
        </w:rPr>
        <w:t>Sukhlal</w:t>
      </w:r>
      <w:proofErr w:type="spellEnd"/>
      <w:r w:rsidRPr="006E46B7">
        <w:rPr>
          <w:rFonts w:ascii="Times New Roman" w:hAnsi="Times New Roman" w:cs="Times New Roman"/>
          <w:sz w:val="24"/>
          <w:szCs w:val="24"/>
        </w:rPr>
        <w:t xml:space="preserve"> </w:t>
      </w:r>
      <w:proofErr w:type="spellStart"/>
      <w:r w:rsidRPr="006E46B7">
        <w:rPr>
          <w:rFonts w:ascii="Times New Roman" w:hAnsi="Times New Roman" w:cs="Times New Roman"/>
          <w:sz w:val="24"/>
          <w:szCs w:val="24"/>
        </w:rPr>
        <w:t>Karnani</w:t>
      </w:r>
      <w:proofErr w:type="spellEnd"/>
      <w:r w:rsidRPr="006E46B7">
        <w:rPr>
          <w:rFonts w:ascii="Times New Roman" w:hAnsi="Times New Roman" w:cs="Times New Roman"/>
          <w:sz w:val="24"/>
          <w:szCs w:val="24"/>
        </w:rPr>
        <w:t xml:space="preserve"> Memorial Hospital, IEC/279; All‐India Institute of Medical Sciences, IEC/NP‐279/2013 RP‐01/2013).</w:t>
      </w:r>
    </w:p>
    <w:p w14:paraId="6875DA2A" w14:textId="2049004D" w:rsidR="00984B8D" w:rsidRDefault="006E46B7" w:rsidP="0062456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Since the data was collected before the conception of this study and that the TITOC cohort was purely observational and all patients received the best care available regardless of participation or not inclusion can be said to be a free choice for the participants.</w:t>
      </w:r>
      <w:r w:rsidR="00984B8D">
        <w:rPr>
          <w:rFonts w:ascii="Times New Roman" w:hAnsi="Times New Roman" w:cs="Times New Roman"/>
          <w:sz w:val="24"/>
          <w:szCs w:val="24"/>
        </w:rPr>
        <w:t xml:space="preserve"> No participant can be said to have been harmed by the study because of its purely observational nature and the dataset is of the size needed to be able to draw conclusions. The participants were often of low socioeconomical status and the study of this arguably vulnerable population is justified in that the gain of knowledge in turn benefit the same population going forward.   </w:t>
      </w:r>
    </w:p>
    <w:p w14:paraId="049DF347" w14:textId="7CDF4BC8" w:rsidR="006E46B7" w:rsidRDefault="006E46B7" w:rsidP="0062456A">
      <w:pPr>
        <w:spacing w:line="360" w:lineRule="auto"/>
        <w:rPr>
          <w:rFonts w:ascii="Times New Roman" w:hAnsi="Times New Roman" w:cs="Times New Roman"/>
          <w:sz w:val="24"/>
          <w:szCs w:val="24"/>
        </w:rPr>
      </w:pPr>
      <w:r>
        <w:rPr>
          <w:rFonts w:ascii="Times New Roman" w:hAnsi="Times New Roman" w:cs="Times New Roman"/>
          <w:sz w:val="24"/>
          <w:szCs w:val="24"/>
        </w:rPr>
        <w:t>It can also be said that the resources needed to perform this study is small since no new data need to be gathered and thus the benefit of improved trauma care</w:t>
      </w:r>
      <w:r w:rsidR="00984B8D">
        <w:rPr>
          <w:rFonts w:ascii="Times New Roman" w:hAnsi="Times New Roman" w:cs="Times New Roman"/>
          <w:sz w:val="24"/>
          <w:szCs w:val="24"/>
        </w:rPr>
        <w:t xml:space="preserve"> and health for trauma patients</w:t>
      </w:r>
      <w:r>
        <w:rPr>
          <w:rFonts w:ascii="Times New Roman" w:hAnsi="Times New Roman" w:cs="Times New Roman"/>
          <w:sz w:val="24"/>
          <w:szCs w:val="24"/>
        </w:rPr>
        <w:t xml:space="preserve"> </w:t>
      </w:r>
      <w:r w:rsidR="00984B8D">
        <w:rPr>
          <w:rFonts w:ascii="Times New Roman" w:hAnsi="Times New Roman" w:cs="Times New Roman"/>
          <w:sz w:val="24"/>
          <w:szCs w:val="24"/>
        </w:rPr>
        <w:t xml:space="preserve">in low resource settings is sufficient to merit this project. </w:t>
      </w:r>
    </w:p>
    <w:p w14:paraId="2A67539F" w14:textId="77777777" w:rsidR="00984B8D" w:rsidRDefault="00984B8D" w:rsidP="0062456A">
      <w:pPr>
        <w:spacing w:line="360" w:lineRule="auto"/>
        <w:rPr>
          <w:rFonts w:ascii="Times New Roman" w:hAnsi="Times New Roman" w:cs="Times New Roman"/>
          <w:sz w:val="24"/>
          <w:szCs w:val="24"/>
        </w:rPr>
      </w:pPr>
    </w:p>
    <w:p w14:paraId="26924D0A" w14:textId="36B468F3" w:rsidR="006E46B7" w:rsidRDefault="006E46B7" w:rsidP="0062456A">
      <w:pPr>
        <w:spacing w:line="360" w:lineRule="auto"/>
        <w:rPr>
          <w:rFonts w:ascii="Times New Roman" w:hAnsi="Times New Roman" w:cs="Times New Roman"/>
          <w:sz w:val="24"/>
          <w:szCs w:val="24"/>
        </w:rPr>
      </w:pPr>
    </w:p>
    <w:p w14:paraId="31F216C4" w14:textId="77777777" w:rsidR="006E46B7" w:rsidRDefault="006E46B7" w:rsidP="0062456A">
      <w:pPr>
        <w:spacing w:line="360" w:lineRule="auto"/>
        <w:rPr>
          <w:rFonts w:ascii="Times New Roman" w:hAnsi="Times New Roman" w:cs="Times New Roman"/>
          <w:sz w:val="24"/>
          <w:szCs w:val="24"/>
        </w:rPr>
      </w:pPr>
    </w:p>
    <w:p w14:paraId="589CA939" w14:textId="77777777" w:rsidR="006E46B7" w:rsidRDefault="006E46B7" w:rsidP="0062456A">
      <w:pPr>
        <w:spacing w:line="360" w:lineRule="auto"/>
        <w:rPr>
          <w:rFonts w:ascii="Times New Roman" w:hAnsi="Times New Roman" w:cs="Times New Roman"/>
          <w:sz w:val="24"/>
          <w:szCs w:val="24"/>
        </w:rPr>
      </w:pPr>
    </w:p>
    <w:p w14:paraId="05CFC5E6" w14:textId="01C269C9" w:rsidR="001A017E" w:rsidRPr="0062456A" w:rsidRDefault="001A017E" w:rsidP="0062456A">
      <w:pPr>
        <w:spacing w:line="360" w:lineRule="auto"/>
        <w:rPr>
          <w:rFonts w:ascii="Times New Roman" w:hAnsi="Times New Roman" w:cs="Times New Roman"/>
          <w:sz w:val="24"/>
          <w:szCs w:val="24"/>
        </w:rPr>
      </w:pPr>
      <w:r>
        <w:rPr>
          <w:rFonts w:ascii="Times New Roman" w:hAnsi="Times New Roman" w:cs="Times New Roman"/>
          <w:sz w:val="24"/>
          <w:szCs w:val="24"/>
        </w:rPr>
        <w:t>References</w:t>
      </w:r>
    </w:p>
    <w:p w14:paraId="54399CA4" w14:textId="67BFB1EF" w:rsidR="00DD3D09" w:rsidRPr="0062456A" w:rsidRDefault="00ED3A41" w:rsidP="0062456A">
      <w:pPr>
        <w:pStyle w:val="ListParagraph"/>
        <w:numPr>
          <w:ilvl w:val="0"/>
          <w:numId w:val="2"/>
        </w:numPr>
        <w:spacing w:line="360" w:lineRule="auto"/>
        <w:rPr>
          <w:rFonts w:ascii="Times New Roman" w:hAnsi="Times New Roman" w:cs="Times New Roman"/>
          <w:sz w:val="24"/>
          <w:szCs w:val="24"/>
        </w:rPr>
      </w:pPr>
      <w:r w:rsidRPr="0062456A">
        <w:rPr>
          <w:rFonts w:ascii="Times New Roman" w:hAnsi="Times New Roman" w:cs="Times New Roman"/>
          <w:color w:val="212121"/>
          <w:sz w:val="24"/>
          <w:szCs w:val="24"/>
          <w:shd w:val="clear" w:color="auto" w:fill="FFFFFF"/>
        </w:rPr>
        <w:t>Miyamoto K, Shibata N, Ogawa A, Nakashima T, Kato S. Prehospital and in-hospital quick Sequential Organ Failure Assessment (</w:t>
      </w:r>
      <w:proofErr w:type="spellStart"/>
      <w:r w:rsidRPr="0062456A">
        <w:rPr>
          <w:rFonts w:ascii="Times New Roman" w:hAnsi="Times New Roman" w:cs="Times New Roman"/>
          <w:color w:val="212121"/>
          <w:sz w:val="24"/>
          <w:szCs w:val="24"/>
          <w:shd w:val="clear" w:color="auto" w:fill="FFFFFF"/>
        </w:rPr>
        <w:t>qSOFA</w:t>
      </w:r>
      <w:proofErr w:type="spellEnd"/>
      <w:r w:rsidRPr="0062456A">
        <w:rPr>
          <w:rFonts w:ascii="Times New Roman" w:hAnsi="Times New Roman" w:cs="Times New Roman"/>
          <w:color w:val="212121"/>
          <w:sz w:val="24"/>
          <w:szCs w:val="24"/>
          <w:shd w:val="clear" w:color="auto" w:fill="FFFFFF"/>
        </w:rPr>
        <w:t xml:space="preserve">) scores to predict in-hospital mortality among trauma patients: an analysis of nationwide registry data. Acute Med Surg. 2020 Jun 23;7(1):e532. </w:t>
      </w:r>
      <w:proofErr w:type="spellStart"/>
      <w:r w:rsidRPr="0062456A">
        <w:rPr>
          <w:rFonts w:ascii="Times New Roman" w:hAnsi="Times New Roman" w:cs="Times New Roman"/>
          <w:color w:val="212121"/>
          <w:sz w:val="24"/>
          <w:szCs w:val="24"/>
          <w:shd w:val="clear" w:color="auto" w:fill="FFFFFF"/>
        </w:rPr>
        <w:t>doi</w:t>
      </w:r>
      <w:proofErr w:type="spellEnd"/>
      <w:r w:rsidRPr="0062456A">
        <w:rPr>
          <w:rFonts w:ascii="Times New Roman" w:hAnsi="Times New Roman" w:cs="Times New Roman"/>
          <w:color w:val="212121"/>
          <w:sz w:val="24"/>
          <w:szCs w:val="24"/>
          <w:shd w:val="clear" w:color="auto" w:fill="FFFFFF"/>
        </w:rPr>
        <w:t>: 10.1002/ams2.532. PMID: 32587706; PMCID: PMC7311801.</w:t>
      </w:r>
    </w:p>
    <w:p w14:paraId="655F259F" w14:textId="51A47C80" w:rsidR="00053E54" w:rsidRPr="0062456A" w:rsidRDefault="00053E54" w:rsidP="0062456A">
      <w:pPr>
        <w:pStyle w:val="ListParagraph"/>
        <w:numPr>
          <w:ilvl w:val="1"/>
          <w:numId w:val="2"/>
        </w:numPr>
        <w:spacing w:line="360" w:lineRule="auto"/>
        <w:rPr>
          <w:rFonts w:ascii="Times New Roman" w:hAnsi="Times New Roman" w:cs="Times New Roman"/>
          <w:sz w:val="24"/>
          <w:szCs w:val="24"/>
          <w:lang w:val="sv-SE"/>
        </w:rPr>
      </w:pPr>
      <w:r w:rsidRPr="0062456A">
        <w:rPr>
          <w:rFonts w:ascii="Times New Roman" w:hAnsi="Times New Roman" w:cs="Times New Roman"/>
          <w:color w:val="212121"/>
          <w:sz w:val="24"/>
          <w:szCs w:val="24"/>
          <w:shd w:val="clear" w:color="auto" w:fill="FFFFFF"/>
          <w:lang w:val="sv-SE"/>
        </w:rPr>
        <w:t>Följ även källor I denna vilka verkar superbra</w:t>
      </w:r>
    </w:p>
    <w:p w14:paraId="747A7923" w14:textId="39877344" w:rsidR="00053E54" w:rsidRPr="0062456A" w:rsidRDefault="00053E54" w:rsidP="0062456A">
      <w:pPr>
        <w:pStyle w:val="ListParagraph"/>
        <w:numPr>
          <w:ilvl w:val="0"/>
          <w:numId w:val="2"/>
        </w:numPr>
        <w:spacing w:line="360" w:lineRule="auto"/>
        <w:rPr>
          <w:rFonts w:ascii="Times New Roman" w:hAnsi="Times New Roman" w:cs="Times New Roman"/>
          <w:sz w:val="24"/>
          <w:szCs w:val="24"/>
        </w:rPr>
      </w:pPr>
      <w:r w:rsidRPr="0062456A">
        <w:rPr>
          <w:rFonts w:ascii="Times New Roman" w:hAnsi="Times New Roman" w:cs="Times New Roman"/>
          <w:sz w:val="24"/>
          <w:szCs w:val="24"/>
          <w:lang w:val="sv-SE"/>
        </w:rPr>
        <w:t xml:space="preserve">  </w:t>
      </w:r>
      <w:proofErr w:type="spellStart"/>
      <w:r w:rsidRPr="0062456A">
        <w:rPr>
          <w:rFonts w:ascii="Times New Roman" w:hAnsi="Times New Roman" w:cs="Times New Roman"/>
          <w:sz w:val="24"/>
          <w:szCs w:val="24"/>
          <w:lang w:val="sv-SE"/>
        </w:rPr>
        <w:t>Miyamoto</w:t>
      </w:r>
      <w:proofErr w:type="spellEnd"/>
      <w:r w:rsidRPr="0062456A">
        <w:rPr>
          <w:rFonts w:ascii="Times New Roman" w:hAnsi="Times New Roman" w:cs="Times New Roman"/>
          <w:sz w:val="24"/>
          <w:szCs w:val="24"/>
          <w:lang w:val="sv-SE"/>
        </w:rPr>
        <w:t xml:space="preserve">, K., </w:t>
      </w:r>
      <w:proofErr w:type="spellStart"/>
      <w:r w:rsidRPr="0062456A">
        <w:rPr>
          <w:rFonts w:ascii="Times New Roman" w:hAnsi="Times New Roman" w:cs="Times New Roman"/>
          <w:sz w:val="24"/>
          <w:szCs w:val="24"/>
          <w:lang w:val="sv-SE"/>
        </w:rPr>
        <w:t>Shibata</w:t>
      </w:r>
      <w:proofErr w:type="spellEnd"/>
      <w:r w:rsidRPr="0062456A">
        <w:rPr>
          <w:rFonts w:ascii="Times New Roman" w:hAnsi="Times New Roman" w:cs="Times New Roman"/>
          <w:sz w:val="24"/>
          <w:szCs w:val="24"/>
          <w:lang w:val="sv-SE"/>
        </w:rPr>
        <w:t xml:space="preserve">, N., </w:t>
      </w:r>
      <w:proofErr w:type="spellStart"/>
      <w:r w:rsidRPr="0062456A">
        <w:rPr>
          <w:rFonts w:ascii="Times New Roman" w:hAnsi="Times New Roman" w:cs="Times New Roman"/>
          <w:sz w:val="24"/>
          <w:szCs w:val="24"/>
          <w:lang w:val="sv-SE"/>
        </w:rPr>
        <w:t>Ogawa</w:t>
      </w:r>
      <w:proofErr w:type="spellEnd"/>
      <w:r w:rsidRPr="0062456A">
        <w:rPr>
          <w:rFonts w:ascii="Times New Roman" w:hAnsi="Times New Roman" w:cs="Times New Roman"/>
          <w:sz w:val="24"/>
          <w:szCs w:val="24"/>
          <w:lang w:val="sv-SE"/>
        </w:rPr>
        <w:t xml:space="preserve">, A., </w:t>
      </w:r>
      <w:proofErr w:type="spellStart"/>
      <w:r w:rsidRPr="0062456A">
        <w:rPr>
          <w:rFonts w:ascii="Times New Roman" w:hAnsi="Times New Roman" w:cs="Times New Roman"/>
          <w:sz w:val="24"/>
          <w:szCs w:val="24"/>
          <w:lang w:val="sv-SE"/>
        </w:rPr>
        <w:t>Nakashima</w:t>
      </w:r>
      <w:proofErr w:type="spellEnd"/>
      <w:r w:rsidRPr="0062456A">
        <w:rPr>
          <w:rFonts w:ascii="Times New Roman" w:hAnsi="Times New Roman" w:cs="Times New Roman"/>
          <w:sz w:val="24"/>
          <w:szCs w:val="24"/>
          <w:lang w:val="sv-SE"/>
        </w:rPr>
        <w:t xml:space="preserve">, T., &amp; Kato, S. (2019). </w:t>
      </w:r>
      <w:r w:rsidRPr="0062456A">
        <w:rPr>
          <w:rFonts w:ascii="Times New Roman" w:hAnsi="Times New Roman" w:cs="Times New Roman"/>
          <w:sz w:val="24"/>
          <w:szCs w:val="24"/>
        </w:rPr>
        <w:t xml:space="preserve">Prehospital quick sequential organ failure assessment score to predict in-hospital mortality among patients with trauma. The American Journal of Emergency Medicine., 37(12), 2165–2170. </w:t>
      </w:r>
      <w:hyperlink r:id="rId5" w:history="1">
        <w:r w:rsidRPr="0062456A">
          <w:rPr>
            <w:rStyle w:val="Hyperlink"/>
            <w:rFonts w:ascii="Times New Roman" w:hAnsi="Times New Roman" w:cs="Times New Roman"/>
            <w:sz w:val="24"/>
            <w:szCs w:val="24"/>
          </w:rPr>
          <w:t>https://doi.org/10.1016/j.ajem.2019.03.007</w:t>
        </w:r>
      </w:hyperlink>
    </w:p>
    <w:p w14:paraId="6757AFAA" w14:textId="7AB941BD" w:rsidR="00570A0A" w:rsidRPr="0062456A" w:rsidRDefault="00D0735E" w:rsidP="0062456A">
      <w:pPr>
        <w:pStyle w:val="ListParagraph"/>
        <w:numPr>
          <w:ilvl w:val="0"/>
          <w:numId w:val="2"/>
        </w:numPr>
        <w:spacing w:line="360" w:lineRule="auto"/>
        <w:rPr>
          <w:rFonts w:ascii="Times New Roman" w:hAnsi="Times New Roman" w:cs="Times New Roman"/>
          <w:sz w:val="24"/>
          <w:szCs w:val="24"/>
        </w:rPr>
      </w:pPr>
      <w:r w:rsidRPr="0062456A">
        <w:rPr>
          <w:rFonts w:ascii="Times New Roman" w:hAnsi="Times New Roman" w:cs="Times New Roman"/>
          <w:color w:val="212121"/>
          <w:sz w:val="24"/>
          <w:szCs w:val="24"/>
          <w:shd w:val="clear" w:color="auto" w:fill="FFFFFF"/>
        </w:rPr>
        <w:t xml:space="preserve">Giannakopoulos GF, </w:t>
      </w:r>
      <w:proofErr w:type="spellStart"/>
      <w:r w:rsidRPr="0062456A">
        <w:rPr>
          <w:rFonts w:ascii="Times New Roman" w:hAnsi="Times New Roman" w:cs="Times New Roman"/>
          <w:color w:val="212121"/>
          <w:sz w:val="24"/>
          <w:szCs w:val="24"/>
          <w:shd w:val="clear" w:color="auto" w:fill="FFFFFF"/>
        </w:rPr>
        <w:t>Saltzherr</w:t>
      </w:r>
      <w:proofErr w:type="spellEnd"/>
      <w:r w:rsidRPr="0062456A">
        <w:rPr>
          <w:rFonts w:ascii="Times New Roman" w:hAnsi="Times New Roman" w:cs="Times New Roman"/>
          <w:color w:val="212121"/>
          <w:sz w:val="24"/>
          <w:szCs w:val="24"/>
          <w:shd w:val="clear" w:color="auto" w:fill="FFFFFF"/>
        </w:rPr>
        <w:t xml:space="preserve"> TP, Lubbers WD, </w:t>
      </w:r>
      <w:proofErr w:type="spellStart"/>
      <w:r w:rsidRPr="0062456A">
        <w:rPr>
          <w:rFonts w:ascii="Times New Roman" w:hAnsi="Times New Roman" w:cs="Times New Roman"/>
          <w:color w:val="212121"/>
          <w:sz w:val="24"/>
          <w:szCs w:val="24"/>
          <w:shd w:val="clear" w:color="auto" w:fill="FFFFFF"/>
        </w:rPr>
        <w:t>Christiaans</w:t>
      </w:r>
      <w:proofErr w:type="spellEnd"/>
      <w:r w:rsidRPr="0062456A">
        <w:rPr>
          <w:rFonts w:ascii="Times New Roman" w:hAnsi="Times New Roman" w:cs="Times New Roman"/>
          <w:color w:val="212121"/>
          <w:sz w:val="24"/>
          <w:szCs w:val="24"/>
          <w:shd w:val="clear" w:color="auto" w:fill="FFFFFF"/>
        </w:rPr>
        <w:t xml:space="preserve"> HM, van </w:t>
      </w:r>
      <w:proofErr w:type="spellStart"/>
      <w:r w:rsidRPr="0062456A">
        <w:rPr>
          <w:rFonts w:ascii="Times New Roman" w:hAnsi="Times New Roman" w:cs="Times New Roman"/>
          <w:color w:val="212121"/>
          <w:sz w:val="24"/>
          <w:szCs w:val="24"/>
          <w:shd w:val="clear" w:color="auto" w:fill="FFFFFF"/>
        </w:rPr>
        <w:t>Exter</w:t>
      </w:r>
      <w:proofErr w:type="spellEnd"/>
      <w:r w:rsidRPr="0062456A">
        <w:rPr>
          <w:rFonts w:ascii="Times New Roman" w:hAnsi="Times New Roman" w:cs="Times New Roman"/>
          <w:color w:val="212121"/>
          <w:sz w:val="24"/>
          <w:szCs w:val="24"/>
          <w:shd w:val="clear" w:color="auto" w:fill="FFFFFF"/>
        </w:rPr>
        <w:t xml:space="preserve"> P, de Lange-de Klerk ES, </w:t>
      </w:r>
      <w:proofErr w:type="spellStart"/>
      <w:r w:rsidRPr="0062456A">
        <w:rPr>
          <w:rFonts w:ascii="Times New Roman" w:hAnsi="Times New Roman" w:cs="Times New Roman"/>
          <w:color w:val="212121"/>
          <w:sz w:val="24"/>
          <w:szCs w:val="24"/>
          <w:shd w:val="clear" w:color="auto" w:fill="FFFFFF"/>
        </w:rPr>
        <w:t>Bloemers</w:t>
      </w:r>
      <w:proofErr w:type="spellEnd"/>
      <w:r w:rsidRPr="0062456A">
        <w:rPr>
          <w:rFonts w:ascii="Times New Roman" w:hAnsi="Times New Roman" w:cs="Times New Roman"/>
          <w:color w:val="212121"/>
          <w:sz w:val="24"/>
          <w:szCs w:val="24"/>
          <w:shd w:val="clear" w:color="auto" w:fill="FFFFFF"/>
        </w:rPr>
        <w:t xml:space="preserve"> FW, </w:t>
      </w:r>
      <w:proofErr w:type="spellStart"/>
      <w:r w:rsidRPr="0062456A">
        <w:rPr>
          <w:rFonts w:ascii="Times New Roman" w:hAnsi="Times New Roman" w:cs="Times New Roman"/>
          <w:color w:val="212121"/>
          <w:sz w:val="24"/>
          <w:szCs w:val="24"/>
          <w:shd w:val="clear" w:color="auto" w:fill="FFFFFF"/>
        </w:rPr>
        <w:t>Zuidema</w:t>
      </w:r>
      <w:proofErr w:type="spellEnd"/>
      <w:r w:rsidRPr="0062456A">
        <w:rPr>
          <w:rFonts w:ascii="Times New Roman" w:hAnsi="Times New Roman" w:cs="Times New Roman"/>
          <w:color w:val="212121"/>
          <w:sz w:val="24"/>
          <w:szCs w:val="24"/>
          <w:shd w:val="clear" w:color="auto" w:fill="FFFFFF"/>
        </w:rPr>
        <w:t xml:space="preserve"> WP, Goslings JC, Bakker FC. Is a maximum Revised Trauma Score a safe triage tool for Helicopter Emergency Medical Services </w:t>
      </w:r>
      <w:r w:rsidRPr="0062456A">
        <w:rPr>
          <w:rFonts w:ascii="Times New Roman" w:hAnsi="Times New Roman" w:cs="Times New Roman"/>
          <w:color w:val="212121"/>
          <w:sz w:val="24"/>
          <w:szCs w:val="24"/>
          <w:shd w:val="clear" w:color="auto" w:fill="FFFFFF"/>
        </w:rPr>
        <w:lastRenderedPageBreak/>
        <w:t xml:space="preserve">cancellations? Eur J </w:t>
      </w:r>
      <w:proofErr w:type="spellStart"/>
      <w:r w:rsidRPr="0062456A">
        <w:rPr>
          <w:rFonts w:ascii="Times New Roman" w:hAnsi="Times New Roman" w:cs="Times New Roman"/>
          <w:color w:val="212121"/>
          <w:sz w:val="24"/>
          <w:szCs w:val="24"/>
          <w:shd w:val="clear" w:color="auto" w:fill="FFFFFF"/>
        </w:rPr>
        <w:t>Emerg</w:t>
      </w:r>
      <w:proofErr w:type="spellEnd"/>
      <w:r w:rsidRPr="0062456A">
        <w:rPr>
          <w:rFonts w:ascii="Times New Roman" w:hAnsi="Times New Roman" w:cs="Times New Roman"/>
          <w:color w:val="212121"/>
          <w:sz w:val="24"/>
          <w:szCs w:val="24"/>
          <w:shd w:val="clear" w:color="auto" w:fill="FFFFFF"/>
        </w:rPr>
        <w:t xml:space="preserve"> Med. 2011 Aug;18(4):197-201. </w:t>
      </w:r>
      <w:proofErr w:type="spellStart"/>
      <w:r w:rsidRPr="0062456A">
        <w:rPr>
          <w:rFonts w:ascii="Times New Roman" w:hAnsi="Times New Roman" w:cs="Times New Roman"/>
          <w:color w:val="212121"/>
          <w:sz w:val="24"/>
          <w:szCs w:val="24"/>
          <w:shd w:val="clear" w:color="auto" w:fill="FFFFFF"/>
        </w:rPr>
        <w:t>doi</w:t>
      </w:r>
      <w:proofErr w:type="spellEnd"/>
      <w:r w:rsidRPr="0062456A">
        <w:rPr>
          <w:rFonts w:ascii="Times New Roman" w:hAnsi="Times New Roman" w:cs="Times New Roman"/>
          <w:color w:val="212121"/>
          <w:sz w:val="24"/>
          <w:szCs w:val="24"/>
          <w:shd w:val="clear" w:color="auto" w:fill="FFFFFF"/>
        </w:rPr>
        <w:t>: 10.1097/MEJ.0b013e328344912e. PMID: 21326101.</w:t>
      </w:r>
    </w:p>
    <w:p w14:paraId="5910A494" w14:textId="46AA3A8A" w:rsidR="00570A0A" w:rsidRPr="0062456A" w:rsidRDefault="00570A0A" w:rsidP="0062456A">
      <w:pPr>
        <w:pStyle w:val="ListParagraph"/>
        <w:numPr>
          <w:ilvl w:val="0"/>
          <w:numId w:val="2"/>
        </w:numPr>
        <w:spacing w:line="360" w:lineRule="auto"/>
        <w:rPr>
          <w:rFonts w:ascii="Times New Roman" w:hAnsi="Times New Roman" w:cs="Times New Roman"/>
          <w:sz w:val="24"/>
          <w:szCs w:val="24"/>
        </w:rPr>
      </w:pPr>
      <w:r w:rsidRPr="0062456A">
        <w:rPr>
          <w:rFonts w:ascii="Times New Roman" w:hAnsi="Times New Roman" w:cs="Times New Roman"/>
          <w:color w:val="212121"/>
          <w:sz w:val="24"/>
          <w:szCs w:val="24"/>
          <w:shd w:val="clear" w:color="auto" w:fill="FFFFFF"/>
        </w:rPr>
        <w:t xml:space="preserve">James SL, Castle CD, </w:t>
      </w:r>
      <w:proofErr w:type="spellStart"/>
      <w:r w:rsidRPr="0062456A">
        <w:rPr>
          <w:rFonts w:ascii="Times New Roman" w:hAnsi="Times New Roman" w:cs="Times New Roman"/>
          <w:color w:val="212121"/>
          <w:sz w:val="24"/>
          <w:szCs w:val="24"/>
          <w:shd w:val="clear" w:color="auto" w:fill="FFFFFF"/>
        </w:rPr>
        <w:t>Dingels</w:t>
      </w:r>
      <w:proofErr w:type="spellEnd"/>
      <w:r w:rsidRPr="0062456A">
        <w:rPr>
          <w:rFonts w:ascii="Times New Roman" w:hAnsi="Times New Roman" w:cs="Times New Roman"/>
          <w:color w:val="212121"/>
          <w:sz w:val="24"/>
          <w:szCs w:val="24"/>
          <w:shd w:val="clear" w:color="auto" w:fill="FFFFFF"/>
        </w:rPr>
        <w:t xml:space="preserve"> ZV, et al. Global injury morbidity and mortality from 1990 to 2017: results from the Global Burden of Disease Study 2017 [published online ahead of print, 2020 Apr 24]. </w:t>
      </w:r>
      <w:proofErr w:type="spellStart"/>
      <w:r w:rsidRPr="0062456A">
        <w:rPr>
          <w:rFonts w:ascii="Times New Roman" w:hAnsi="Times New Roman" w:cs="Times New Roman"/>
          <w:i/>
          <w:iCs/>
          <w:color w:val="212121"/>
          <w:sz w:val="24"/>
          <w:szCs w:val="24"/>
          <w:shd w:val="clear" w:color="auto" w:fill="FFFFFF"/>
        </w:rPr>
        <w:t>Inj</w:t>
      </w:r>
      <w:proofErr w:type="spellEnd"/>
      <w:r w:rsidRPr="0062456A">
        <w:rPr>
          <w:rFonts w:ascii="Times New Roman" w:hAnsi="Times New Roman" w:cs="Times New Roman"/>
          <w:i/>
          <w:iCs/>
          <w:color w:val="212121"/>
          <w:sz w:val="24"/>
          <w:szCs w:val="24"/>
          <w:shd w:val="clear" w:color="auto" w:fill="FFFFFF"/>
        </w:rPr>
        <w:t xml:space="preserve"> Prev</w:t>
      </w:r>
      <w:r w:rsidRPr="0062456A">
        <w:rPr>
          <w:rFonts w:ascii="Times New Roman" w:hAnsi="Times New Roman" w:cs="Times New Roman"/>
          <w:color w:val="212121"/>
          <w:sz w:val="24"/>
          <w:szCs w:val="24"/>
          <w:shd w:val="clear" w:color="auto" w:fill="FFFFFF"/>
        </w:rPr>
        <w:t>. 2020;injuryprev-2019-043494. doi:10.1136/injuryprev-2019-043494</w:t>
      </w:r>
    </w:p>
    <w:p w14:paraId="6BC172EE" w14:textId="1C404FA6" w:rsidR="00110C31" w:rsidRDefault="00110C31" w:rsidP="0062456A">
      <w:pPr>
        <w:pStyle w:val="ListParagraph"/>
        <w:numPr>
          <w:ilvl w:val="0"/>
          <w:numId w:val="2"/>
        </w:numPr>
        <w:spacing w:line="360" w:lineRule="auto"/>
        <w:rPr>
          <w:rFonts w:ascii="Times New Roman" w:hAnsi="Times New Roman" w:cs="Times New Roman"/>
          <w:color w:val="212121"/>
          <w:sz w:val="24"/>
          <w:szCs w:val="24"/>
          <w:shd w:val="clear" w:color="auto" w:fill="FFFFFF"/>
        </w:rPr>
      </w:pPr>
      <w:r w:rsidRPr="0062456A">
        <w:rPr>
          <w:rFonts w:ascii="Times New Roman" w:hAnsi="Times New Roman" w:cs="Times New Roman"/>
          <w:color w:val="212121"/>
          <w:sz w:val="24"/>
          <w:szCs w:val="24"/>
          <w:shd w:val="clear" w:color="auto" w:fill="FFFFFF"/>
        </w:rPr>
        <w:t xml:space="preserve">Mock, C., </w:t>
      </w:r>
      <w:proofErr w:type="spellStart"/>
      <w:r w:rsidRPr="0062456A">
        <w:rPr>
          <w:rFonts w:ascii="Times New Roman" w:hAnsi="Times New Roman" w:cs="Times New Roman"/>
          <w:color w:val="212121"/>
          <w:sz w:val="24"/>
          <w:szCs w:val="24"/>
          <w:shd w:val="clear" w:color="auto" w:fill="FFFFFF"/>
        </w:rPr>
        <w:t>Joshipura</w:t>
      </w:r>
      <w:proofErr w:type="spellEnd"/>
      <w:r w:rsidRPr="0062456A">
        <w:rPr>
          <w:rFonts w:ascii="Times New Roman" w:hAnsi="Times New Roman" w:cs="Times New Roman"/>
          <w:color w:val="212121"/>
          <w:sz w:val="24"/>
          <w:szCs w:val="24"/>
          <w:shd w:val="clear" w:color="auto" w:fill="FFFFFF"/>
        </w:rPr>
        <w:t>, M., Arreola-Risa, C., &amp; Quansah, R. (2012). An estimate of the number of lives that could be saved through improvements in trauma care globally. </w:t>
      </w:r>
      <w:r w:rsidRPr="0062456A">
        <w:rPr>
          <w:rFonts w:ascii="Times New Roman" w:hAnsi="Times New Roman" w:cs="Times New Roman"/>
          <w:i/>
          <w:iCs/>
          <w:color w:val="212121"/>
          <w:sz w:val="24"/>
          <w:szCs w:val="24"/>
          <w:shd w:val="clear" w:color="auto" w:fill="FFFFFF"/>
        </w:rPr>
        <w:t>World journal of surgery</w:t>
      </w:r>
      <w:r w:rsidRPr="0062456A">
        <w:rPr>
          <w:rFonts w:ascii="Times New Roman" w:hAnsi="Times New Roman" w:cs="Times New Roman"/>
          <w:color w:val="212121"/>
          <w:sz w:val="24"/>
          <w:szCs w:val="24"/>
          <w:shd w:val="clear" w:color="auto" w:fill="FFFFFF"/>
        </w:rPr>
        <w:t>, </w:t>
      </w:r>
      <w:r w:rsidRPr="0062456A">
        <w:rPr>
          <w:rFonts w:ascii="Times New Roman" w:hAnsi="Times New Roman" w:cs="Times New Roman"/>
          <w:i/>
          <w:iCs/>
          <w:color w:val="212121"/>
          <w:sz w:val="24"/>
          <w:szCs w:val="24"/>
          <w:shd w:val="clear" w:color="auto" w:fill="FFFFFF"/>
        </w:rPr>
        <w:t>36</w:t>
      </w:r>
      <w:r w:rsidRPr="0062456A">
        <w:rPr>
          <w:rFonts w:ascii="Times New Roman" w:hAnsi="Times New Roman" w:cs="Times New Roman"/>
          <w:color w:val="212121"/>
          <w:sz w:val="24"/>
          <w:szCs w:val="24"/>
          <w:shd w:val="clear" w:color="auto" w:fill="FFFFFF"/>
        </w:rPr>
        <w:t xml:space="preserve">(5), 959–963. </w:t>
      </w:r>
      <w:hyperlink r:id="rId6" w:history="1">
        <w:r w:rsidR="0062456A" w:rsidRPr="0062456A">
          <w:rPr>
            <w:rStyle w:val="Hyperlink"/>
            <w:rFonts w:ascii="Times New Roman" w:hAnsi="Times New Roman" w:cs="Times New Roman"/>
            <w:sz w:val="24"/>
            <w:szCs w:val="24"/>
            <w:shd w:val="clear" w:color="auto" w:fill="FFFFFF"/>
          </w:rPr>
          <w:t>https://doi-org.proxy.kib.ki.se/10.1007/s00268-012-1459-6</w:t>
        </w:r>
      </w:hyperlink>
    </w:p>
    <w:p w14:paraId="6A3C5DC8" w14:textId="7775DC5F" w:rsidR="00270B28" w:rsidRPr="00270B28" w:rsidRDefault="00270B28" w:rsidP="0062456A">
      <w:pPr>
        <w:pStyle w:val="ListParagraph"/>
        <w:numPr>
          <w:ilvl w:val="0"/>
          <w:numId w:val="2"/>
        </w:numPr>
        <w:spacing w:line="360" w:lineRule="auto"/>
        <w:rPr>
          <w:rFonts w:ascii="Times New Roman" w:hAnsi="Times New Roman" w:cs="Times New Roman"/>
          <w:color w:val="212121"/>
          <w:sz w:val="24"/>
          <w:szCs w:val="24"/>
          <w:shd w:val="clear" w:color="auto" w:fill="FFFFFF"/>
        </w:rPr>
      </w:pPr>
      <w:r>
        <w:rPr>
          <w:rFonts w:ascii="Segoe UI" w:hAnsi="Segoe UI" w:cs="Segoe UI"/>
          <w:color w:val="212121"/>
          <w:shd w:val="clear" w:color="auto" w:fill="FFFFFF"/>
        </w:rPr>
        <w:t>King D. R. (2019). Initial Care of the Severely Injured Patient. </w:t>
      </w:r>
      <w:r>
        <w:rPr>
          <w:rFonts w:ascii="Segoe UI" w:hAnsi="Segoe UI" w:cs="Segoe UI"/>
          <w:i/>
          <w:iCs/>
          <w:color w:val="212121"/>
          <w:shd w:val="clear" w:color="auto" w:fill="FFFFFF"/>
        </w:rPr>
        <w:t>The New England journal of medicine</w:t>
      </w:r>
      <w:r>
        <w:rPr>
          <w:rFonts w:ascii="Segoe UI" w:hAnsi="Segoe UI" w:cs="Segoe UI"/>
          <w:color w:val="212121"/>
          <w:shd w:val="clear" w:color="auto" w:fill="FFFFFF"/>
        </w:rPr>
        <w:t>, </w:t>
      </w:r>
      <w:r>
        <w:rPr>
          <w:rFonts w:ascii="Segoe UI" w:hAnsi="Segoe UI" w:cs="Segoe UI"/>
          <w:i/>
          <w:iCs/>
          <w:color w:val="212121"/>
          <w:shd w:val="clear" w:color="auto" w:fill="FFFFFF"/>
        </w:rPr>
        <w:t>380</w:t>
      </w:r>
      <w:r>
        <w:rPr>
          <w:rFonts w:ascii="Segoe UI" w:hAnsi="Segoe UI" w:cs="Segoe UI"/>
          <w:color w:val="212121"/>
          <w:shd w:val="clear" w:color="auto" w:fill="FFFFFF"/>
        </w:rPr>
        <w:t xml:space="preserve">(8), 763–770. </w:t>
      </w:r>
      <w:hyperlink r:id="rId7" w:history="1">
        <w:r w:rsidRPr="00C127DF">
          <w:rPr>
            <w:rStyle w:val="Hyperlink"/>
            <w:rFonts w:ascii="Segoe UI" w:hAnsi="Segoe UI" w:cs="Segoe UI"/>
            <w:shd w:val="clear" w:color="auto" w:fill="FFFFFF"/>
          </w:rPr>
          <w:t>https://doi-org.proxy.kib.ki.se/10.1056/NEJMra1609326</w:t>
        </w:r>
      </w:hyperlink>
    </w:p>
    <w:p w14:paraId="249B9C24" w14:textId="4B0173D6" w:rsidR="00270B28" w:rsidRPr="00213167" w:rsidRDefault="00B3153F" w:rsidP="0062456A">
      <w:pPr>
        <w:pStyle w:val="ListParagraph"/>
        <w:numPr>
          <w:ilvl w:val="0"/>
          <w:numId w:val="2"/>
        </w:numPr>
        <w:spacing w:line="360" w:lineRule="auto"/>
        <w:rPr>
          <w:rFonts w:ascii="Times New Roman" w:hAnsi="Times New Roman" w:cs="Times New Roman"/>
          <w:color w:val="212121"/>
          <w:sz w:val="24"/>
          <w:szCs w:val="24"/>
          <w:shd w:val="clear" w:color="auto" w:fill="FFFFFF"/>
        </w:rPr>
      </w:pPr>
      <w:r>
        <w:rPr>
          <w:rFonts w:ascii="Helvetica" w:hAnsi="Helvetica" w:cs="Helvetica"/>
          <w:color w:val="3A3A3A"/>
          <w:shd w:val="clear" w:color="auto" w:fill="FFFFFF"/>
        </w:rPr>
        <w:t xml:space="preserve">David, S., &amp; </w:t>
      </w:r>
      <w:proofErr w:type="spellStart"/>
      <w:r>
        <w:rPr>
          <w:rFonts w:ascii="Helvetica" w:hAnsi="Helvetica" w:cs="Helvetica"/>
          <w:color w:val="3A3A3A"/>
          <w:shd w:val="clear" w:color="auto" w:fill="FFFFFF"/>
        </w:rPr>
        <w:t>Brunkhorst</w:t>
      </w:r>
      <w:proofErr w:type="spellEnd"/>
      <w:r>
        <w:rPr>
          <w:rFonts w:ascii="Helvetica" w:hAnsi="Helvetica" w:cs="Helvetica"/>
          <w:color w:val="3A3A3A"/>
          <w:shd w:val="clear" w:color="auto" w:fill="FFFFFF"/>
        </w:rPr>
        <w:t>, F. (2017). [Sepsis-3 : What has been confirmed in therapy?]. </w:t>
      </w:r>
      <w:r>
        <w:rPr>
          <w:rFonts w:ascii="Helvetica" w:hAnsi="Helvetica" w:cs="Helvetica"/>
          <w:i/>
          <w:iCs/>
          <w:color w:val="3A3A3A"/>
          <w:shd w:val="clear" w:color="auto" w:fill="FFFFFF"/>
        </w:rPr>
        <w:t>Der Internist.</w:t>
      </w:r>
      <w:r>
        <w:rPr>
          <w:rFonts w:ascii="Helvetica" w:hAnsi="Helvetica" w:cs="Helvetica"/>
          <w:color w:val="3A3A3A"/>
          <w:shd w:val="clear" w:color="auto" w:fill="FFFFFF"/>
        </w:rPr>
        <w:t>, </w:t>
      </w:r>
      <w:r>
        <w:rPr>
          <w:rFonts w:ascii="Helvetica" w:hAnsi="Helvetica" w:cs="Helvetica"/>
          <w:i/>
          <w:iCs/>
          <w:color w:val="3A3A3A"/>
          <w:shd w:val="clear" w:color="auto" w:fill="FFFFFF"/>
        </w:rPr>
        <w:t>58</w:t>
      </w:r>
      <w:r>
        <w:rPr>
          <w:rFonts w:ascii="Helvetica" w:hAnsi="Helvetica" w:cs="Helvetica"/>
          <w:color w:val="3A3A3A"/>
          <w:shd w:val="clear" w:color="auto" w:fill="FFFFFF"/>
        </w:rPr>
        <w:t xml:space="preserve">(12), 1264–1271. </w:t>
      </w:r>
      <w:hyperlink r:id="rId8" w:history="1">
        <w:r w:rsidR="00213167" w:rsidRPr="00C127DF">
          <w:rPr>
            <w:rStyle w:val="Hyperlink"/>
            <w:rFonts w:ascii="Helvetica" w:hAnsi="Helvetica" w:cs="Helvetica"/>
            <w:shd w:val="clear" w:color="auto" w:fill="FFFFFF"/>
          </w:rPr>
          <w:t>https://doi.org/10.1007/s00108-017-0338-5</w:t>
        </w:r>
      </w:hyperlink>
    </w:p>
    <w:p w14:paraId="4D39C660" w14:textId="75BD6A42" w:rsidR="00213167" w:rsidRPr="00213167" w:rsidRDefault="00213167" w:rsidP="0062456A">
      <w:pPr>
        <w:pStyle w:val="ListParagraph"/>
        <w:numPr>
          <w:ilvl w:val="0"/>
          <w:numId w:val="2"/>
        </w:numPr>
        <w:spacing w:line="360" w:lineRule="auto"/>
        <w:rPr>
          <w:rFonts w:ascii="Times New Roman" w:hAnsi="Times New Roman" w:cs="Times New Roman"/>
          <w:color w:val="212121"/>
          <w:sz w:val="24"/>
          <w:szCs w:val="24"/>
          <w:shd w:val="clear" w:color="auto" w:fill="FFFFFF"/>
        </w:rPr>
      </w:pPr>
      <w:r>
        <w:rPr>
          <w:rFonts w:ascii="Helvetica" w:hAnsi="Helvetica" w:cs="Helvetica"/>
          <w:color w:val="3A3A3A"/>
          <w:shd w:val="clear" w:color="auto" w:fill="FFFFFF"/>
        </w:rPr>
        <w:t xml:space="preserve">Shankar-Hari, M., Phillips, G., Levy, M., Seymour, C., Liu, V., </w:t>
      </w:r>
      <w:proofErr w:type="spellStart"/>
      <w:r>
        <w:rPr>
          <w:rFonts w:ascii="Helvetica" w:hAnsi="Helvetica" w:cs="Helvetica"/>
          <w:color w:val="3A3A3A"/>
          <w:shd w:val="clear" w:color="auto" w:fill="FFFFFF"/>
        </w:rPr>
        <w:t>Deutschman</w:t>
      </w:r>
      <w:proofErr w:type="spellEnd"/>
      <w:r>
        <w:rPr>
          <w:rFonts w:ascii="Helvetica" w:hAnsi="Helvetica" w:cs="Helvetica"/>
          <w:color w:val="3A3A3A"/>
          <w:shd w:val="clear" w:color="auto" w:fill="FFFFFF"/>
        </w:rPr>
        <w:t xml:space="preserve">, C., Angus, D., </w:t>
      </w:r>
      <w:proofErr w:type="spellStart"/>
      <w:r>
        <w:rPr>
          <w:rFonts w:ascii="Helvetica" w:hAnsi="Helvetica" w:cs="Helvetica"/>
          <w:color w:val="3A3A3A"/>
          <w:shd w:val="clear" w:color="auto" w:fill="FFFFFF"/>
        </w:rPr>
        <w:t>Rubenfeld</w:t>
      </w:r>
      <w:proofErr w:type="spellEnd"/>
      <w:r>
        <w:rPr>
          <w:rFonts w:ascii="Helvetica" w:hAnsi="Helvetica" w:cs="Helvetica"/>
          <w:color w:val="3A3A3A"/>
          <w:shd w:val="clear" w:color="auto" w:fill="FFFFFF"/>
        </w:rPr>
        <w:t>, G., &amp; Singer, M. (n.d.). Developing a New Definition and Assessing New Clinical Criteria for Septic Shock: For the Third International Consensus Definitions for Sepsis and Septic Shock (Sepsis-3). </w:t>
      </w:r>
      <w:r>
        <w:rPr>
          <w:rFonts w:ascii="Helvetica" w:hAnsi="Helvetica" w:cs="Helvetica"/>
          <w:i/>
          <w:iCs/>
          <w:color w:val="3A3A3A"/>
          <w:shd w:val="clear" w:color="auto" w:fill="FFFFFF"/>
        </w:rPr>
        <w:t>JAMA : the Journal of the American Medical Association.</w:t>
      </w:r>
      <w:r>
        <w:rPr>
          <w:rFonts w:ascii="Helvetica" w:hAnsi="Helvetica" w:cs="Helvetica"/>
          <w:color w:val="3A3A3A"/>
          <w:shd w:val="clear" w:color="auto" w:fill="FFFFFF"/>
        </w:rPr>
        <w:t>, </w:t>
      </w:r>
      <w:r>
        <w:rPr>
          <w:rFonts w:ascii="Helvetica" w:hAnsi="Helvetica" w:cs="Helvetica"/>
          <w:i/>
          <w:iCs/>
          <w:color w:val="3A3A3A"/>
          <w:shd w:val="clear" w:color="auto" w:fill="FFFFFF"/>
        </w:rPr>
        <w:t>315</w:t>
      </w:r>
      <w:r>
        <w:rPr>
          <w:rFonts w:ascii="Helvetica" w:hAnsi="Helvetica" w:cs="Helvetica"/>
          <w:color w:val="3A3A3A"/>
          <w:shd w:val="clear" w:color="auto" w:fill="FFFFFF"/>
        </w:rPr>
        <w:t xml:space="preserve">(8), 775–787. </w:t>
      </w:r>
      <w:hyperlink r:id="rId9" w:history="1">
        <w:r w:rsidRPr="00C127DF">
          <w:rPr>
            <w:rStyle w:val="Hyperlink"/>
            <w:rFonts w:ascii="Helvetica" w:hAnsi="Helvetica" w:cs="Helvetica"/>
            <w:shd w:val="clear" w:color="auto" w:fill="FFFFFF"/>
          </w:rPr>
          <w:t>https://doi.org/10.1001/jama.2016.0289</w:t>
        </w:r>
      </w:hyperlink>
    </w:p>
    <w:p w14:paraId="6692B3F8" w14:textId="1AECC6CD" w:rsidR="00213167" w:rsidRPr="00963C8A" w:rsidRDefault="000B079C" w:rsidP="0062456A">
      <w:pPr>
        <w:pStyle w:val="ListParagraph"/>
        <w:numPr>
          <w:ilvl w:val="0"/>
          <w:numId w:val="2"/>
        </w:numPr>
        <w:spacing w:line="360" w:lineRule="auto"/>
        <w:rPr>
          <w:rFonts w:ascii="Times New Roman" w:hAnsi="Times New Roman" w:cs="Times New Roman"/>
          <w:color w:val="212121"/>
          <w:sz w:val="24"/>
          <w:szCs w:val="24"/>
          <w:shd w:val="clear" w:color="auto" w:fill="FFFFFF"/>
        </w:rPr>
      </w:pPr>
      <w:r>
        <w:rPr>
          <w:rFonts w:ascii="Segoe UI" w:hAnsi="Segoe UI" w:cs="Segoe UI"/>
          <w:color w:val="212121"/>
          <w:shd w:val="clear" w:color="auto" w:fill="FFFFFF"/>
        </w:rPr>
        <w:t xml:space="preserve">Champion, H. R., Sacco, W. J., Copes, W. S., Gann, D. S., </w:t>
      </w:r>
      <w:proofErr w:type="spellStart"/>
      <w:r>
        <w:rPr>
          <w:rFonts w:ascii="Segoe UI" w:hAnsi="Segoe UI" w:cs="Segoe UI"/>
          <w:color w:val="212121"/>
          <w:shd w:val="clear" w:color="auto" w:fill="FFFFFF"/>
        </w:rPr>
        <w:t>Gennarelli</w:t>
      </w:r>
      <w:proofErr w:type="spellEnd"/>
      <w:r>
        <w:rPr>
          <w:rFonts w:ascii="Segoe UI" w:hAnsi="Segoe UI" w:cs="Segoe UI"/>
          <w:color w:val="212121"/>
          <w:shd w:val="clear" w:color="auto" w:fill="FFFFFF"/>
        </w:rPr>
        <w:t>, T. A., &amp; Flanagan, M. E. (1989). A revision of the Trauma Score. </w:t>
      </w:r>
      <w:r>
        <w:rPr>
          <w:rFonts w:ascii="Segoe UI" w:hAnsi="Segoe UI" w:cs="Segoe UI"/>
          <w:i/>
          <w:iCs/>
          <w:color w:val="212121"/>
          <w:shd w:val="clear" w:color="auto" w:fill="FFFFFF"/>
        </w:rPr>
        <w:t>The Journal of trauma</w:t>
      </w:r>
      <w:r>
        <w:rPr>
          <w:rFonts w:ascii="Segoe UI" w:hAnsi="Segoe UI" w:cs="Segoe UI"/>
          <w:color w:val="212121"/>
          <w:shd w:val="clear" w:color="auto" w:fill="FFFFFF"/>
        </w:rPr>
        <w:t>, </w:t>
      </w:r>
      <w:r>
        <w:rPr>
          <w:rFonts w:ascii="Segoe UI" w:hAnsi="Segoe UI" w:cs="Segoe UI"/>
          <w:i/>
          <w:iCs/>
          <w:color w:val="212121"/>
          <w:shd w:val="clear" w:color="auto" w:fill="FFFFFF"/>
        </w:rPr>
        <w:t>29</w:t>
      </w:r>
      <w:r>
        <w:rPr>
          <w:rFonts w:ascii="Segoe UI" w:hAnsi="Segoe UI" w:cs="Segoe UI"/>
          <w:color w:val="212121"/>
          <w:shd w:val="clear" w:color="auto" w:fill="FFFFFF"/>
        </w:rPr>
        <w:t xml:space="preserve">(5), 623–629. </w:t>
      </w:r>
      <w:hyperlink r:id="rId10" w:history="1">
        <w:r w:rsidR="00963C8A" w:rsidRPr="00C127DF">
          <w:rPr>
            <w:rStyle w:val="Hyperlink"/>
            <w:rFonts w:ascii="Segoe UI" w:hAnsi="Segoe UI" w:cs="Segoe UI"/>
            <w:shd w:val="clear" w:color="auto" w:fill="FFFFFF"/>
          </w:rPr>
          <w:t>https://doi-org.proxy.kib.ki.se/10.1097/00005373-198905000-00017</w:t>
        </w:r>
      </w:hyperlink>
    </w:p>
    <w:p w14:paraId="172E5BBD" w14:textId="674083DB" w:rsidR="00963C8A" w:rsidRPr="00CC7588" w:rsidRDefault="00963C8A" w:rsidP="0062456A">
      <w:pPr>
        <w:pStyle w:val="ListParagraph"/>
        <w:numPr>
          <w:ilvl w:val="0"/>
          <w:numId w:val="2"/>
        </w:numPr>
        <w:spacing w:line="360" w:lineRule="auto"/>
        <w:rPr>
          <w:rFonts w:ascii="Times New Roman" w:hAnsi="Times New Roman" w:cs="Times New Roman"/>
          <w:color w:val="212121"/>
          <w:sz w:val="24"/>
          <w:szCs w:val="24"/>
          <w:shd w:val="clear" w:color="auto" w:fill="FFFFFF"/>
        </w:rPr>
      </w:pPr>
      <w:r>
        <w:rPr>
          <w:rFonts w:ascii="Segoe UI" w:hAnsi="Segoe UI" w:cs="Segoe UI"/>
          <w:color w:val="212121"/>
          <w:shd w:val="clear" w:color="auto" w:fill="FFFFFF"/>
        </w:rPr>
        <w:t xml:space="preserve">Champion, H. R., Sacco, W. J., Copes, W. S., Gann, D. S., </w:t>
      </w:r>
      <w:proofErr w:type="spellStart"/>
      <w:r>
        <w:rPr>
          <w:rFonts w:ascii="Segoe UI" w:hAnsi="Segoe UI" w:cs="Segoe UI"/>
          <w:color w:val="212121"/>
          <w:shd w:val="clear" w:color="auto" w:fill="FFFFFF"/>
        </w:rPr>
        <w:t>Gennarelli</w:t>
      </w:r>
      <w:proofErr w:type="spellEnd"/>
      <w:r>
        <w:rPr>
          <w:rFonts w:ascii="Segoe UI" w:hAnsi="Segoe UI" w:cs="Segoe UI"/>
          <w:color w:val="212121"/>
          <w:shd w:val="clear" w:color="auto" w:fill="FFFFFF"/>
        </w:rPr>
        <w:t>, T. A., &amp; Flanagan, M. E. (1989). A revision of the Trauma Score. </w:t>
      </w:r>
      <w:r>
        <w:rPr>
          <w:rFonts w:ascii="Segoe UI" w:hAnsi="Segoe UI" w:cs="Segoe UI"/>
          <w:i/>
          <w:iCs/>
          <w:color w:val="212121"/>
          <w:shd w:val="clear" w:color="auto" w:fill="FFFFFF"/>
        </w:rPr>
        <w:t>The Journal of trauma</w:t>
      </w:r>
      <w:r>
        <w:rPr>
          <w:rFonts w:ascii="Segoe UI" w:hAnsi="Segoe UI" w:cs="Segoe UI"/>
          <w:color w:val="212121"/>
          <w:shd w:val="clear" w:color="auto" w:fill="FFFFFF"/>
        </w:rPr>
        <w:t>, </w:t>
      </w:r>
      <w:r>
        <w:rPr>
          <w:rFonts w:ascii="Segoe UI" w:hAnsi="Segoe UI" w:cs="Segoe UI"/>
          <w:i/>
          <w:iCs/>
          <w:color w:val="212121"/>
          <w:shd w:val="clear" w:color="auto" w:fill="FFFFFF"/>
        </w:rPr>
        <w:t>29</w:t>
      </w:r>
      <w:r>
        <w:rPr>
          <w:rFonts w:ascii="Segoe UI" w:hAnsi="Segoe UI" w:cs="Segoe UI"/>
          <w:color w:val="212121"/>
          <w:shd w:val="clear" w:color="auto" w:fill="FFFFFF"/>
        </w:rPr>
        <w:t xml:space="preserve">(5), 623–629. </w:t>
      </w:r>
      <w:hyperlink r:id="rId11" w:history="1">
        <w:r w:rsidR="00CC7588" w:rsidRPr="00C127DF">
          <w:rPr>
            <w:rStyle w:val="Hyperlink"/>
            <w:rFonts w:ascii="Segoe UI" w:hAnsi="Segoe UI" w:cs="Segoe UI"/>
            <w:shd w:val="clear" w:color="auto" w:fill="FFFFFF"/>
          </w:rPr>
          <w:t>https://doi-org.proxy.kib.ki.se/10.1097/00005373-198905000-00017</w:t>
        </w:r>
      </w:hyperlink>
    </w:p>
    <w:p w14:paraId="1912C000" w14:textId="4C8099AA" w:rsidR="00CC7588" w:rsidRPr="001A017E" w:rsidRDefault="00CC7588" w:rsidP="0062456A">
      <w:pPr>
        <w:pStyle w:val="ListParagraph"/>
        <w:numPr>
          <w:ilvl w:val="0"/>
          <w:numId w:val="2"/>
        </w:numPr>
        <w:spacing w:line="360" w:lineRule="auto"/>
        <w:rPr>
          <w:rFonts w:ascii="Times New Roman" w:hAnsi="Times New Roman" w:cs="Times New Roman"/>
          <w:color w:val="212121"/>
          <w:sz w:val="24"/>
          <w:szCs w:val="24"/>
          <w:shd w:val="clear" w:color="auto" w:fill="FFFFFF"/>
        </w:rPr>
      </w:pPr>
      <w:r>
        <w:rPr>
          <w:rFonts w:ascii="Segoe UI" w:hAnsi="Segoe UI" w:cs="Segoe UI"/>
          <w:color w:val="212121"/>
          <w:shd w:val="clear" w:color="auto" w:fill="FFFFFF"/>
        </w:rPr>
        <w:t xml:space="preserve">Alvarez, B. D., </w:t>
      </w:r>
      <w:proofErr w:type="spellStart"/>
      <w:r>
        <w:rPr>
          <w:rFonts w:ascii="Segoe UI" w:hAnsi="Segoe UI" w:cs="Segoe UI"/>
          <w:color w:val="212121"/>
          <w:shd w:val="clear" w:color="auto" w:fill="FFFFFF"/>
        </w:rPr>
        <w:t>Razente</w:t>
      </w:r>
      <w:proofErr w:type="spellEnd"/>
      <w:r>
        <w:rPr>
          <w:rFonts w:ascii="Segoe UI" w:hAnsi="Segoe UI" w:cs="Segoe UI"/>
          <w:color w:val="212121"/>
          <w:shd w:val="clear" w:color="auto" w:fill="FFFFFF"/>
        </w:rPr>
        <w:t xml:space="preserve">, D. M., </w:t>
      </w:r>
      <w:proofErr w:type="spellStart"/>
      <w:r>
        <w:rPr>
          <w:rFonts w:ascii="Segoe UI" w:hAnsi="Segoe UI" w:cs="Segoe UI"/>
          <w:color w:val="212121"/>
          <w:shd w:val="clear" w:color="auto" w:fill="FFFFFF"/>
        </w:rPr>
        <w:t>Lacerda</w:t>
      </w:r>
      <w:proofErr w:type="spellEnd"/>
      <w:r>
        <w:rPr>
          <w:rFonts w:ascii="Segoe UI" w:hAnsi="Segoe UI" w:cs="Segoe UI"/>
          <w:color w:val="212121"/>
          <w:shd w:val="clear" w:color="auto" w:fill="FFFFFF"/>
        </w:rPr>
        <w:t xml:space="preserve">, D. A., </w:t>
      </w:r>
      <w:proofErr w:type="spellStart"/>
      <w:r>
        <w:rPr>
          <w:rFonts w:ascii="Segoe UI" w:hAnsi="Segoe UI" w:cs="Segoe UI"/>
          <w:color w:val="212121"/>
          <w:shd w:val="clear" w:color="auto" w:fill="FFFFFF"/>
        </w:rPr>
        <w:t>Lother</w:t>
      </w:r>
      <w:proofErr w:type="spellEnd"/>
      <w:r>
        <w:rPr>
          <w:rFonts w:ascii="Segoe UI" w:hAnsi="Segoe UI" w:cs="Segoe UI"/>
          <w:color w:val="212121"/>
          <w:shd w:val="clear" w:color="auto" w:fill="FFFFFF"/>
        </w:rPr>
        <w:t>, N. S., VON-</w:t>
      </w:r>
      <w:proofErr w:type="spellStart"/>
      <w:r>
        <w:rPr>
          <w:rFonts w:ascii="Segoe UI" w:hAnsi="Segoe UI" w:cs="Segoe UI"/>
          <w:color w:val="212121"/>
          <w:shd w:val="clear" w:color="auto" w:fill="FFFFFF"/>
        </w:rPr>
        <w:t>Bahten</w:t>
      </w:r>
      <w:proofErr w:type="spellEnd"/>
      <w:r>
        <w:rPr>
          <w:rFonts w:ascii="Segoe UI" w:hAnsi="Segoe UI" w:cs="Segoe UI"/>
          <w:color w:val="212121"/>
          <w:shd w:val="clear" w:color="auto" w:fill="FFFFFF"/>
        </w:rPr>
        <w:t xml:space="preserve">, L. C., &amp; </w:t>
      </w:r>
      <w:proofErr w:type="spellStart"/>
      <w:r>
        <w:rPr>
          <w:rFonts w:ascii="Segoe UI" w:hAnsi="Segoe UI" w:cs="Segoe UI"/>
          <w:color w:val="212121"/>
          <w:shd w:val="clear" w:color="auto" w:fill="FFFFFF"/>
        </w:rPr>
        <w:t>Stahlschmidt</w:t>
      </w:r>
      <w:proofErr w:type="spellEnd"/>
      <w:r>
        <w:rPr>
          <w:rFonts w:ascii="Segoe UI" w:hAnsi="Segoe UI" w:cs="Segoe UI"/>
          <w:color w:val="212121"/>
          <w:shd w:val="clear" w:color="auto" w:fill="FFFFFF"/>
        </w:rPr>
        <w:t>, C. M. (2016). Analysis of the Revised Trauma Score (RTS) in 200 victims of different trauma mechanisms. </w:t>
      </w:r>
      <w:proofErr w:type="spellStart"/>
      <w:r>
        <w:rPr>
          <w:rFonts w:ascii="Segoe UI" w:hAnsi="Segoe UI" w:cs="Segoe UI"/>
          <w:i/>
          <w:iCs/>
          <w:color w:val="212121"/>
          <w:shd w:val="clear" w:color="auto" w:fill="FFFFFF"/>
        </w:rPr>
        <w:t>Revista</w:t>
      </w:r>
      <w:proofErr w:type="spellEnd"/>
      <w:r>
        <w:rPr>
          <w:rFonts w:ascii="Segoe UI" w:hAnsi="Segoe UI" w:cs="Segoe UI"/>
          <w:i/>
          <w:iCs/>
          <w:color w:val="212121"/>
          <w:shd w:val="clear" w:color="auto" w:fill="FFFFFF"/>
        </w:rPr>
        <w:t xml:space="preserve"> do Colegio </w:t>
      </w:r>
      <w:proofErr w:type="spellStart"/>
      <w:r>
        <w:rPr>
          <w:rFonts w:ascii="Segoe UI" w:hAnsi="Segoe UI" w:cs="Segoe UI"/>
          <w:i/>
          <w:iCs/>
          <w:color w:val="212121"/>
          <w:shd w:val="clear" w:color="auto" w:fill="FFFFFF"/>
        </w:rPr>
        <w:t>Brasileiro</w:t>
      </w:r>
      <w:proofErr w:type="spellEnd"/>
      <w:r>
        <w:rPr>
          <w:rFonts w:ascii="Segoe UI" w:hAnsi="Segoe UI" w:cs="Segoe UI"/>
          <w:i/>
          <w:iCs/>
          <w:color w:val="212121"/>
          <w:shd w:val="clear" w:color="auto" w:fill="FFFFFF"/>
        </w:rPr>
        <w:t xml:space="preserve"> de </w:t>
      </w:r>
      <w:proofErr w:type="spellStart"/>
      <w:r>
        <w:rPr>
          <w:rFonts w:ascii="Segoe UI" w:hAnsi="Segoe UI" w:cs="Segoe UI"/>
          <w:i/>
          <w:iCs/>
          <w:color w:val="212121"/>
          <w:shd w:val="clear" w:color="auto" w:fill="FFFFFF"/>
        </w:rPr>
        <w:t>Cirurgioes</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43</w:t>
      </w:r>
      <w:r>
        <w:rPr>
          <w:rFonts w:ascii="Segoe UI" w:hAnsi="Segoe UI" w:cs="Segoe UI"/>
          <w:color w:val="212121"/>
          <w:shd w:val="clear" w:color="auto" w:fill="FFFFFF"/>
        </w:rPr>
        <w:t xml:space="preserve">(5), 334–340. </w:t>
      </w:r>
      <w:hyperlink r:id="rId12" w:history="1">
        <w:r w:rsidR="001A017E" w:rsidRPr="00C127DF">
          <w:rPr>
            <w:rStyle w:val="Hyperlink"/>
            <w:rFonts w:ascii="Segoe UI" w:hAnsi="Segoe UI" w:cs="Segoe UI"/>
            <w:shd w:val="clear" w:color="auto" w:fill="FFFFFF"/>
          </w:rPr>
          <w:t>https://doi-org.proxy.kib.ki.se/10.1590/0100-69912016005010</w:t>
        </w:r>
      </w:hyperlink>
    </w:p>
    <w:p w14:paraId="125876F3" w14:textId="7A078D7E" w:rsidR="001A017E" w:rsidRPr="00BF28D7" w:rsidRDefault="001A017E" w:rsidP="0062456A">
      <w:pPr>
        <w:pStyle w:val="ListParagraph"/>
        <w:numPr>
          <w:ilvl w:val="0"/>
          <w:numId w:val="2"/>
        </w:numPr>
        <w:spacing w:line="360" w:lineRule="auto"/>
        <w:rPr>
          <w:rFonts w:ascii="Times New Roman" w:hAnsi="Times New Roman" w:cs="Times New Roman"/>
          <w:color w:val="212121"/>
          <w:sz w:val="24"/>
          <w:szCs w:val="24"/>
          <w:shd w:val="clear" w:color="auto" w:fill="FFFFFF"/>
        </w:rPr>
      </w:pPr>
      <w:r w:rsidRPr="001A017E">
        <w:rPr>
          <w:rFonts w:ascii="Times New Roman" w:hAnsi="Times New Roman" w:cs="Times New Roman"/>
          <w:sz w:val="24"/>
          <w:szCs w:val="24"/>
        </w:rPr>
        <w:lastRenderedPageBreak/>
        <w:t xml:space="preserve">TITCO collaborators (2017). TITCO dataset version 1. Available from </w:t>
      </w:r>
      <w:hyperlink r:id="rId13" w:history="1">
        <w:r w:rsidR="00BF28D7" w:rsidRPr="00C127DF">
          <w:rPr>
            <w:rStyle w:val="Hyperlink"/>
            <w:rFonts w:ascii="Times New Roman" w:hAnsi="Times New Roman" w:cs="Times New Roman"/>
            <w:sz w:val="24"/>
            <w:szCs w:val="24"/>
          </w:rPr>
          <w:t>https://github.com/titco/titco-I</w:t>
        </w:r>
      </w:hyperlink>
      <w:r w:rsidRPr="001A017E">
        <w:rPr>
          <w:rFonts w:ascii="Times New Roman" w:hAnsi="Times New Roman" w:cs="Times New Roman"/>
          <w:sz w:val="24"/>
          <w:szCs w:val="24"/>
        </w:rPr>
        <w:t>.</w:t>
      </w:r>
    </w:p>
    <w:p w14:paraId="3EEC4AA2" w14:textId="77777777" w:rsidR="001249EF" w:rsidRDefault="001249EF" w:rsidP="001249EF">
      <w:pPr>
        <w:rPr>
          <w:rFonts w:ascii="Calibri" w:eastAsia="Times New Roman" w:hAnsi="Calibri" w:cs="Calibri"/>
          <w:b/>
          <w:bCs/>
          <w:color w:val="000000"/>
          <w:sz w:val="40"/>
          <w:szCs w:val="40"/>
        </w:rPr>
      </w:pPr>
      <w:r>
        <w:rPr>
          <w:rFonts w:ascii="Times New Roman" w:hAnsi="Times New Roman" w:cs="Times New Roman"/>
          <w:sz w:val="24"/>
          <w:szCs w:val="24"/>
        </w:rPr>
        <w:br/>
      </w:r>
    </w:p>
    <w:p w14:paraId="0B890698" w14:textId="77777777" w:rsidR="001249EF" w:rsidRDefault="001249EF">
      <w:pPr>
        <w:rPr>
          <w:rFonts w:ascii="Calibri" w:eastAsia="Times New Roman" w:hAnsi="Calibri" w:cs="Calibri"/>
          <w:b/>
          <w:bCs/>
          <w:color w:val="000000"/>
          <w:sz w:val="40"/>
          <w:szCs w:val="40"/>
        </w:rPr>
      </w:pPr>
      <w:r>
        <w:rPr>
          <w:rFonts w:ascii="Calibri" w:eastAsia="Times New Roman" w:hAnsi="Calibri" w:cs="Calibri"/>
          <w:b/>
          <w:bCs/>
          <w:color w:val="000000"/>
          <w:sz w:val="40"/>
          <w:szCs w:val="40"/>
        </w:rPr>
        <w:br w:type="page"/>
      </w:r>
    </w:p>
    <w:p w14:paraId="09A51C8A" w14:textId="09F8094A" w:rsidR="001249EF" w:rsidRPr="001249EF" w:rsidRDefault="001249EF" w:rsidP="001249EF">
      <w:pPr>
        <w:rPr>
          <w:rFonts w:ascii="Calibri" w:eastAsia="Times New Roman" w:hAnsi="Calibri" w:cs="Calibri"/>
          <w:b/>
          <w:bCs/>
          <w:color w:val="000000"/>
          <w:sz w:val="40"/>
          <w:szCs w:val="40"/>
          <w:lang w:val="sv-SE"/>
        </w:rPr>
      </w:pPr>
      <w:bookmarkStart w:id="0" w:name="_GoBack"/>
      <w:bookmarkEnd w:id="0"/>
      <w:r w:rsidRPr="001249EF">
        <w:rPr>
          <w:rFonts w:ascii="Calibri" w:eastAsia="Times New Roman" w:hAnsi="Calibri" w:cs="Calibri"/>
          <w:b/>
          <w:bCs/>
          <w:color w:val="000000"/>
          <w:sz w:val="40"/>
          <w:szCs w:val="40"/>
          <w:lang w:val="sv-SE"/>
        </w:rPr>
        <w:lastRenderedPageBreak/>
        <w:t>TIDSPLAN (GANTT-DIAGRAM) FÖR EXAMENSARBETET</w:t>
      </w:r>
    </w:p>
    <w:p w14:paraId="795296B1" w14:textId="495ACFED" w:rsidR="00BF28D7" w:rsidRPr="001249EF" w:rsidRDefault="00BF28D7">
      <w:pPr>
        <w:rPr>
          <w:rFonts w:ascii="Times New Roman" w:hAnsi="Times New Roman" w:cs="Times New Roman"/>
          <w:sz w:val="24"/>
          <w:szCs w:val="24"/>
          <w:lang w:val="sv-SE"/>
        </w:rPr>
      </w:pPr>
    </w:p>
    <w:p w14:paraId="44AFD789" w14:textId="7150E1B2" w:rsidR="00BF28D7" w:rsidRPr="00BF28D7" w:rsidRDefault="001249EF" w:rsidP="00BF28D7">
      <w:pPr>
        <w:pStyle w:val="ListParagraph"/>
        <w:spacing w:line="360" w:lineRule="auto"/>
        <w:rPr>
          <w:rFonts w:ascii="Times New Roman" w:hAnsi="Times New Roman" w:cs="Times New Roman"/>
          <w:color w:val="212121"/>
          <w:sz w:val="24"/>
          <w:szCs w:val="24"/>
          <w:shd w:val="clear" w:color="auto" w:fill="FFFFFF"/>
          <w:lang w:val="sv-SE"/>
        </w:rPr>
      </w:pPr>
      <w:r>
        <w:rPr>
          <w:noProof/>
        </w:rPr>
        <w:drawing>
          <wp:inline distT="0" distB="0" distL="0" distR="0" wp14:anchorId="46EF5F00" wp14:editId="1DA0B2D8">
            <wp:extent cx="5943600" cy="6238875"/>
            <wp:effectExtent l="0" t="0" r="0" b="9525"/>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BF28D7" w:rsidRPr="00BF2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2DC9"/>
    <w:multiLevelType w:val="hybridMultilevel"/>
    <w:tmpl w:val="D8EEA08A"/>
    <w:lvl w:ilvl="0" w:tplc="DB7E2CA4">
      <w:start w:val="1"/>
      <w:numFmt w:val="decimal"/>
      <w:lvlText w:val="%1)"/>
      <w:lvlJc w:val="left"/>
      <w:pPr>
        <w:ind w:left="720" w:hanging="360"/>
      </w:pPr>
      <w:rPr>
        <w:rFonts w:ascii="Segoe UI" w:hAnsi="Segoe UI" w:cs="Segoe UI" w:hint="default"/>
        <w:color w:val="2121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3350C"/>
    <w:multiLevelType w:val="hybridMultilevel"/>
    <w:tmpl w:val="76FC3100"/>
    <w:lvl w:ilvl="0" w:tplc="6F243B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80BC1"/>
    <w:multiLevelType w:val="multilevel"/>
    <w:tmpl w:val="40EC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B9"/>
    <w:rsid w:val="00006437"/>
    <w:rsid w:val="00053E54"/>
    <w:rsid w:val="000B079C"/>
    <w:rsid w:val="00110C31"/>
    <w:rsid w:val="001249EF"/>
    <w:rsid w:val="001A017E"/>
    <w:rsid w:val="001C4C3F"/>
    <w:rsid w:val="00213167"/>
    <w:rsid w:val="00243359"/>
    <w:rsid w:val="00270B28"/>
    <w:rsid w:val="002E31C5"/>
    <w:rsid w:val="00334BB9"/>
    <w:rsid w:val="003C4021"/>
    <w:rsid w:val="004E59C0"/>
    <w:rsid w:val="00557885"/>
    <w:rsid w:val="00570A0A"/>
    <w:rsid w:val="0062456A"/>
    <w:rsid w:val="00656ED1"/>
    <w:rsid w:val="00687E37"/>
    <w:rsid w:val="006E46B7"/>
    <w:rsid w:val="00817ACD"/>
    <w:rsid w:val="008F5E5B"/>
    <w:rsid w:val="00963C8A"/>
    <w:rsid w:val="009828E8"/>
    <w:rsid w:val="00984B8D"/>
    <w:rsid w:val="009B0D4E"/>
    <w:rsid w:val="00B21762"/>
    <w:rsid w:val="00B3153F"/>
    <w:rsid w:val="00BF28D7"/>
    <w:rsid w:val="00CC7588"/>
    <w:rsid w:val="00D0735E"/>
    <w:rsid w:val="00D20E2D"/>
    <w:rsid w:val="00DD3D09"/>
    <w:rsid w:val="00E6402D"/>
    <w:rsid w:val="00ED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D17B75"/>
  <w15:chartTrackingRefBased/>
  <w15:docId w15:val="{21F72D3E-4D62-4EAD-A0FB-54A1DA1E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A41"/>
    <w:pPr>
      <w:ind w:left="720"/>
      <w:contextualSpacing/>
    </w:pPr>
  </w:style>
  <w:style w:type="character" w:styleId="Hyperlink">
    <w:name w:val="Hyperlink"/>
    <w:basedOn w:val="DefaultParagraphFont"/>
    <w:uiPriority w:val="99"/>
    <w:unhideWhenUsed/>
    <w:rsid w:val="00053E54"/>
    <w:rPr>
      <w:color w:val="0563C1" w:themeColor="hyperlink"/>
      <w:u w:val="single"/>
    </w:rPr>
  </w:style>
  <w:style w:type="character" w:styleId="UnresolvedMention">
    <w:name w:val="Unresolved Mention"/>
    <w:basedOn w:val="DefaultParagraphFont"/>
    <w:uiPriority w:val="99"/>
    <w:semiHidden/>
    <w:unhideWhenUsed/>
    <w:rsid w:val="00053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3400">
      <w:bodyDiv w:val="1"/>
      <w:marLeft w:val="0"/>
      <w:marRight w:val="0"/>
      <w:marTop w:val="0"/>
      <w:marBottom w:val="0"/>
      <w:divBdr>
        <w:top w:val="none" w:sz="0" w:space="0" w:color="auto"/>
        <w:left w:val="none" w:sz="0" w:space="0" w:color="auto"/>
        <w:bottom w:val="none" w:sz="0" w:space="0" w:color="auto"/>
        <w:right w:val="none" w:sz="0" w:space="0" w:color="auto"/>
      </w:divBdr>
    </w:div>
    <w:div w:id="155541165">
      <w:bodyDiv w:val="1"/>
      <w:marLeft w:val="0"/>
      <w:marRight w:val="0"/>
      <w:marTop w:val="0"/>
      <w:marBottom w:val="0"/>
      <w:divBdr>
        <w:top w:val="none" w:sz="0" w:space="0" w:color="auto"/>
        <w:left w:val="none" w:sz="0" w:space="0" w:color="auto"/>
        <w:bottom w:val="none" w:sz="0" w:space="0" w:color="auto"/>
        <w:right w:val="none" w:sz="0" w:space="0" w:color="auto"/>
      </w:divBdr>
    </w:div>
    <w:div w:id="510687347">
      <w:bodyDiv w:val="1"/>
      <w:marLeft w:val="0"/>
      <w:marRight w:val="0"/>
      <w:marTop w:val="0"/>
      <w:marBottom w:val="0"/>
      <w:divBdr>
        <w:top w:val="none" w:sz="0" w:space="0" w:color="auto"/>
        <w:left w:val="none" w:sz="0" w:space="0" w:color="auto"/>
        <w:bottom w:val="none" w:sz="0" w:space="0" w:color="auto"/>
        <w:right w:val="none" w:sz="0" w:space="0" w:color="auto"/>
      </w:divBdr>
    </w:div>
    <w:div w:id="1196114451">
      <w:bodyDiv w:val="1"/>
      <w:marLeft w:val="0"/>
      <w:marRight w:val="0"/>
      <w:marTop w:val="0"/>
      <w:marBottom w:val="0"/>
      <w:divBdr>
        <w:top w:val="none" w:sz="0" w:space="0" w:color="auto"/>
        <w:left w:val="none" w:sz="0" w:space="0" w:color="auto"/>
        <w:bottom w:val="none" w:sz="0" w:space="0" w:color="auto"/>
        <w:right w:val="none" w:sz="0" w:space="0" w:color="auto"/>
      </w:divBdr>
    </w:div>
    <w:div w:id="1851486773">
      <w:bodyDiv w:val="1"/>
      <w:marLeft w:val="0"/>
      <w:marRight w:val="0"/>
      <w:marTop w:val="0"/>
      <w:marBottom w:val="0"/>
      <w:divBdr>
        <w:top w:val="none" w:sz="0" w:space="0" w:color="auto"/>
        <w:left w:val="none" w:sz="0" w:space="0" w:color="auto"/>
        <w:bottom w:val="none" w:sz="0" w:space="0" w:color="auto"/>
        <w:right w:val="none" w:sz="0" w:space="0" w:color="auto"/>
      </w:divBdr>
    </w:div>
    <w:div w:id="210090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00108-017-0338-5" TargetMode="External"/><Relationship Id="rId13" Type="http://schemas.openxmlformats.org/officeDocument/2006/relationships/hyperlink" Target="https://github.com/titco/titco-I" TargetMode="External"/><Relationship Id="rId3" Type="http://schemas.openxmlformats.org/officeDocument/2006/relationships/settings" Target="settings.xml"/><Relationship Id="rId7" Type="http://schemas.openxmlformats.org/officeDocument/2006/relationships/hyperlink" Target="https://doi-org.proxy.kib.ki.se/10.1056/NEJMra1609326" TargetMode="External"/><Relationship Id="rId12" Type="http://schemas.openxmlformats.org/officeDocument/2006/relationships/hyperlink" Target="https://doi-org.proxy.kib.ki.se/10.1590/0100-699120160050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proxy.kib.ki.se/10.1007/s00268-012-1459-6" TargetMode="External"/><Relationship Id="rId11" Type="http://schemas.openxmlformats.org/officeDocument/2006/relationships/hyperlink" Target="https://doi-org.proxy.kib.ki.se/10.1097/00005373-198905000-00017" TargetMode="External"/><Relationship Id="rId5" Type="http://schemas.openxmlformats.org/officeDocument/2006/relationships/hyperlink" Target="https://doi.org/10.1016/j.ajem.2019.03.007" TargetMode="External"/><Relationship Id="rId15" Type="http://schemas.openxmlformats.org/officeDocument/2006/relationships/fontTable" Target="fontTable.xml"/><Relationship Id="rId10" Type="http://schemas.openxmlformats.org/officeDocument/2006/relationships/hyperlink" Target="https://doi-org.proxy.kib.ki.se/10.1097/00005373-198905000-00017" TargetMode="External"/><Relationship Id="rId4" Type="http://schemas.openxmlformats.org/officeDocument/2006/relationships/webSettings" Target="webSettings.xml"/><Relationship Id="rId9" Type="http://schemas.openxmlformats.org/officeDocument/2006/relationships/hyperlink" Target="https://doi.org/10.1001/jama.2016.0289"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oken\Downloads\Gantt%20T8%20ht20_n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spPr>
            <a:no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Blad1!$A$16:$A$32</c:f>
              <c:strCache>
                <c:ptCount val="17"/>
                <c:pt idx="0">
                  <c:v>Inläsning på projektet, dialog m HL.</c:v>
                </c:pt>
                <c:pt idx="1">
                  <c:v>Bekanta mig med R och de verktyg som används</c:v>
                </c:pt>
                <c:pt idx="2">
                  <c:v>Skriva Intro och M&amp;M, till projektredogörelsen</c:v>
                </c:pt>
                <c:pt idx="3">
                  <c:v>Skriv kod som sorterar datan</c:v>
                </c:pt>
                <c:pt idx="4">
                  <c:v>skriva klart projektredogörelsen</c:v>
                </c:pt>
                <c:pt idx="5">
                  <c:v>Diskutera utfallsmått, statistik, planera analysen</c:v>
                </c:pt>
                <c:pt idx="6">
                  <c:v>Skriv kod för den statistiska analysen</c:v>
                </c:pt>
                <c:pt idx="7">
                  <c:v>Läsa pek: identifiera aspekter m praktisk relevans för projektet</c:v>
                </c:pt>
                <c:pt idx="8">
                  <c:v>Förbereda, genomföra Projektseminarium</c:v>
                </c:pt>
                <c:pt idx="9">
                  <c:v>Beakta feedback från seminariet</c:v>
                </c:pt>
                <c:pt idx="10">
                  <c:v>Skriva resultatdel</c:v>
                </c:pt>
                <c:pt idx="11">
                  <c:v>Läsa pek: planera argumentation för diskussionsdelen</c:v>
                </c:pt>
                <c:pt idx="12">
                  <c:v>Skriva diskussionsdel</c:v>
                </c:pt>
                <c:pt idx="13">
                  <c:v>Sammanställa färdig rapport första utkast</c:v>
                </c:pt>
                <c:pt idx="14">
                  <c:v>Skriva Abstract o skapa muntlig presentation</c:v>
                </c:pt>
                <c:pt idx="15">
                  <c:v>Färdigställa seminarieversionen, genomföra Slutseminarium</c:v>
                </c:pt>
                <c:pt idx="16">
                  <c:v>Se över feedback, helhet, röd tråd, layout</c:v>
                </c:pt>
              </c:strCache>
            </c:strRef>
          </c:cat>
          <c:val>
            <c:numRef>
              <c:f>Blad1!$B$16:$B$32</c:f>
              <c:numCache>
                <c:formatCode>General</c:formatCode>
                <c:ptCount val="17"/>
                <c:pt idx="0">
                  <c:v>1</c:v>
                </c:pt>
                <c:pt idx="1">
                  <c:v>1</c:v>
                </c:pt>
                <c:pt idx="2">
                  <c:v>1</c:v>
                </c:pt>
                <c:pt idx="3">
                  <c:v>3</c:v>
                </c:pt>
                <c:pt idx="4">
                  <c:v>4</c:v>
                </c:pt>
                <c:pt idx="5">
                  <c:v>4</c:v>
                </c:pt>
                <c:pt idx="6">
                  <c:v>6</c:v>
                </c:pt>
                <c:pt idx="7">
                  <c:v>1</c:v>
                </c:pt>
                <c:pt idx="8">
                  <c:v>5</c:v>
                </c:pt>
                <c:pt idx="9">
                  <c:v>7</c:v>
                </c:pt>
                <c:pt idx="10">
                  <c:v>11</c:v>
                </c:pt>
                <c:pt idx="11">
                  <c:v>14</c:v>
                </c:pt>
                <c:pt idx="12">
                  <c:v>13</c:v>
                </c:pt>
                <c:pt idx="13">
                  <c:v>15</c:v>
                </c:pt>
                <c:pt idx="14">
                  <c:v>15</c:v>
                </c:pt>
                <c:pt idx="15">
                  <c:v>17</c:v>
                </c:pt>
                <c:pt idx="16">
                  <c:v>18</c:v>
                </c:pt>
              </c:numCache>
            </c:numRef>
          </c:val>
          <c:extLst>
            <c:ext xmlns:c16="http://schemas.microsoft.com/office/drawing/2014/chart" uri="{C3380CC4-5D6E-409C-BE32-E72D297353CC}">
              <c16:uniqueId val="{00000000-498B-4FA7-AAE1-AD96EAA74818}"/>
            </c:ext>
          </c:extLst>
        </c:ser>
        <c:ser>
          <c:idx val="1"/>
          <c:order val="1"/>
          <c:spPr>
            <a:solidFill>
              <a:schemeClr val="accent2"/>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498B-4FA7-AAE1-AD96EAA74818}"/>
              </c:ext>
            </c:extLst>
          </c:dPt>
          <c:dPt>
            <c:idx val="14"/>
            <c:invertIfNegative val="0"/>
            <c:bubble3D val="0"/>
            <c:spPr>
              <a:solidFill>
                <a:srgbClr val="0070C0"/>
              </a:solidFill>
              <a:ln>
                <a:noFill/>
              </a:ln>
              <a:effectLst/>
            </c:spPr>
            <c:extLst>
              <c:ext xmlns:c16="http://schemas.microsoft.com/office/drawing/2014/chart" uri="{C3380CC4-5D6E-409C-BE32-E72D297353CC}">
                <c16:uniqueId val="{00000004-498B-4FA7-AAE1-AD96EAA74818}"/>
              </c:ext>
            </c:extLst>
          </c:dPt>
          <c:dLbls>
            <c:dLbl>
              <c:idx val="8"/>
              <c:spPr>
                <a:solidFill>
                  <a:srgbClr val="00B0F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6="http://schemas.microsoft.com/office/drawing/2014/chart" uri="{C3380CC4-5D6E-409C-BE32-E72D297353CC}">
                  <c16:uniqueId val="{00000002-498B-4FA7-AAE1-AD96EAA74818}"/>
                </c:ext>
              </c:extLst>
            </c:dLbl>
            <c:dLbl>
              <c:idx val="14"/>
              <c:spPr>
                <a:solidFill>
                  <a:srgbClr val="00B0F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6="http://schemas.microsoft.com/office/drawing/2014/chart" uri="{C3380CC4-5D6E-409C-BE32-E72D297353CC}">
                  <c16:uniqueId val="{00000004-498B-4FA7-AAE1-AD96EAA7481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Blad1!$A$16:$A$32</c:f>
              <c:strCache>
                <c:ptCount val="17"/>
                <c:pt idx="0">
                  <c:v>Inläsning på projektet, dialog m HL.</c:v>
                </c:pt>
                <c:pt idx="1">
                  <c:v>Bekanta mig med R och de verktyg som används</c:v>
                </c:pt>
                <c:pt idx="2">
                  <c:v>Skriva Intro och M&amp;M, till projektredogörelsen</c:v>
                </c:pt>
                <c:pt idx="3">
                  <c:v>Skriv kod som sorterar datan</c:v>
                </c:pt>
                <c:pt idx="4">
                  <c:v>skriva klart projektredogörelsen</c:v>
                </c:pt>
                <c:pt idx="5">
                  <c:v>Diskutera utfallsmått, statistik, planera analysen</c:v>
                </c:pt>
                <c:pt idx="6">
                  <c:v>Skriv kod för den statistiska analysen</c:v>
                </c:pt>
                <c:pt idx="7">
                  <c:v>Läsa pek: identifiera aspekter m praktisk relevans för projektet</c:v>
                </c:pt>
                <c:pt idx="8">
                  <c:v>Förbereda, genomföra Projektseminarium</c:v>
                </c:pt>
                <c:pt idx="9">
                  <c:v>Beakta feedback från seminariet</c:v>
                </c:pt>
                <c:pt idx="10">
                  <c:v>Skriva resultatdel</c:v>
                </c:pt>
                <c:pt idx="11">
                  <c:v>Läsa pek: planera argumentation för diskussionsdelen</c:v>
                </c:pt>
                <c:pt idx="12">
                  <c:v>Skriva diskussionsdel</c:v>
                </c:pt>
                <c:pt idx="13">
                  <c:v>Sammanställa färdig rapport första utkast</c:v>
                </c:pt>
                <c:pt idx="14">
                  <c:v>Skriva Abstract o skapa muntlig presentation</c:v>
                </c:pt>
                <c:pt idx="15">
                  <c:v>Färdigställa seminarieversionen, genomföra Slutseminarium</c:v>
                </c:pt>
                <c:pt idx="16">
                  <c:v>Se över feedback, helhet, röd tråd, layout</c:v>
                </c:pt>
              </c:strCache>
            </c:strRef>
          </c:cat>
          <c:val>
            <c:numRef>
              <c:f>Blad1!$C$16:$C$32</c:f>
              <c:numCache>
                <c:formatCode>General</c:formatCode>
                <c:ptCount val="17"/>
                <c:pt idx="0">
                  <c:v>2</c:v>
                </c:pt>
                <c:pt idx="1">
                  <c:v>2</c:v>
                </c:pt>
                <c:pt idx="2">
                  <c:v>4</c:v>
                </c:pt>
                <c:pt idx="3">
                  <c:v>3</c:v>
                </c:pt>
                <c:pt idx="4">
                  <c:v>2</c:v>
                </c:pt>
                <c:pt idx="5">
                  <c:v>2</c:v>
                </c:pt>
                <c:pt idx="6">
                  <c:v>5</c:v>
                </c:pt>
                <c:pt idx="7">
                  <c:v>13</c:v>
                </c:pt>
                <c:pt idx="8">
                  <c:v>2</c:v>
                </c:pt>
                <c:pt idx="9">
                  <c:v>2</c:v>
                </c:pt>
                <c:pt idx="10">
                  <c:v>4</c:v>
                </c:pt>
                <c:pt idx="11">
                  <c:v>3</c:v>
                </c:pt>
                <c:pt idx="12">
                  <c:v>4</c:v>
                </c:pt>
                <c:pt idx="13">
                  <c:v>2</c:v>
                </c:pt>
                <c:pt idx="14">
                  <c:v>1</c:v>
                </c:pt>
                <c:pt idx="15">
                  <c:v>2</c:v>
                </c:pt>
                <c:pt idx="16">
                  <c:v>2</c:v>
                </c:pt>
              </c:numCache>
            </c:numRef>
          </c:val>
          <c:extLst>
            <c:ext xmlns:c16="http://schemas.microsoft.com/office/drawing/2014/chart" uri="{C3380CC4-5D6E-409C-BE32-E72D297353CC}">
              <c16:uniqueId val="{00000005-498B-4FA7-AAE1-AD96EAA74818}"/>
            </c:ext>
          </c:extLst>
        </c:ser>
        <c:dLbls>
          <c:dLblPos val="ctr"/>
          <c:showLegendKey val="0"/>
          <c:showVal val="1"/>
          <c:showCatName val="0"/>
          <c:showSerName val="0"/>
          <c:showPercent val="0"/>
          <c:showBubbleSize val="0"/>
        </c:dLbls>
        <c:gapWidth val="46"/>
        <c:overlap val="100"/>
        <c:axId val="678525200"/>
        <c:axId val="657914368"/>
      </c:barChart>
      <c:catAx>
        <c:axId val="678525200"/>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Arial Rounded MT Bold" charset="0"/>
                <a:ea typeface="Arial Rounded MT Bold" charset="0"/>
                <a:cs typeface="Arial Rounded MT Bold" charset="0"/>
              </a:defRPr>
            </a:pPr>
            <a:endParaRPr lang="en-US"/>
          </a:p>
        </c:txPr>
        <c:crossAx val="657914368"/>
        <c:crosses val="autoZero"/>
        <c:auto val="1"/>
        <c:lblAlgn val="ctr"/>
        <c:lblOffset val="100"/>
        <c:noMultiLvlLbl val="0"/>
      </c:catAx>
      <c:valAx>
        <c:axId val="657914368"/>
        <c:scaling>
          <c:orientation val="minMax"/>
        </c:scaling>
        <c:delete val="1"/>
        <c:axPos val="t"/>
        <c:numFmt formatCode="General" sourceLinked="1"/>
        <c:majorTickMark val="none"/>
        <c:minorTickMark val="none"/>
        <c:tickLblPos val="nextTo"/>
        <c:crossAx val="67852520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8432</TotalTime>
  <Pages>7</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Lindberg</dc:creator>
  <cp:keywords/>
  <dc:description/>
  <cp:lastModifiedBy>Björn Lindberg</cp:lastModifiedBy>
  <cp:revision>4</cp:revision>
  <dcterms:created xsi:type="dcterms:W3CDTF">2020-09-23T08:34:00Z</dcterms:created>
  <dcterms:modified xsi:type="dcterms:W3CDTF">2020-09-29T09:24:00Z</dcterms:modified>
</cp:coreProperties>
</file>