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860051"/>
        </w:rPr>
      </w:pPr>
      <w:r>
        <w:rPr>
          <w:color w:val="860051"/>
        </w:rPr>
        <mc:AlternateContent>
          <mc:Choice Requires="wpg">
            <w:drawing>
              <wp:anchor behindDoc="0" distT="0" distB="0" distL="114300" distR="114300" simplePos="0" locked="0" layoutInCell="1" allowOverlap="1" relativeHeight="2" wp14:anchorId="68875E97">
                <wp:simplePos x="0" y="0"/>
                <wp:positionH relativeFrom="column">
                  <wp:posOffset>-701675</wp:posOffset>
                </wp:positionH>
                <wp:positionV relativeFrom="paragraph">
                  <wp:posOffset>-755015</wp:posOffset>
                </wp:positionV>
                <wp:extent cx="7864475" cy="10401935"/>
                <wp:effectExtent l="0" t="0" r="0" b="0"/>
                <wp:wrapNone/>
                <wp:docPr id="1" name="Group 2"/>
                <a:graphic xmlns:a="http://schemas.openxmlformats.org/drawingml/2006/main">
                  <a:graphicData uri="http://schemas.microsoft.com/office/word/2010/wordprocessingGroup">
                    <wpg:wgp>
                      <wpg:cNvGrpSpPr/>
                      <wpg:grpSpPr>
                        <a:xfrm>
                          <a:off x="0" y="0"/>
                          <a:ext cx="7863840" cy="10401480"/>
                        </a:xfrm>
                      </wpg:grpSpPr>
                      <wps:wsp>
                        <wps:cNvSpPr/>
                        <wps:spPr>
                          <a:xfrm>
                            <a:off x="0" y="0"/>
                            <a:ext cx="1438920" cy="9174600"/>
                          </a:xfrm>
                          <a:prstGeom prst="rect">
                            <a:avLst/>
                          </a:prstGeom>
                          <a:solidFill>
                            <a:srgbClr val="cacaca"/>
                          </a:solidFill>
                          <a:ln w="9360">
                            <a:noFill/>
                          </a:ln>
                        </wps:spPr>
                        <wps:style>
                          <a:lnRef idx="0"/>
                          <a:fillRef idx="0"/>
                          <a:effectRef idx="0"/>
                          <a:fontRef idx="minor"/>
                        </wps:style>
                        <wps:bodyPr/>
                      </wps:wsp>
                      <wps:wsp>
                        <wps:cNvSpPr/>
                        <wps:spPr>
                          <a:xfrm>
                            <a:off x="838080" y="0"/>
                            <a:ext cx="6268680" cy="1438920"/>
                          </a:xfrm>
                          <a:prstGeom prst="rect">
                            <a:avLst/>
                          </a:prstGeom>
                          <a:solidFill>
                            <a:srgbClr val="cacaca">
                              <a:alpha val="72000"/>
                            </a:srgbClr>
                          </a:solidFill>
                          <a:ln w="9360">
                            <a:noFill/>
                          </a:ln>
                        </wps:spPr>
                        <wps:style>
                          <a:lnRef idx="0"/>
                          <a:fillRef idx="0"/>
                          <a:effectRef idx="0"/>
                          <a:fontRef idx="minor"/>
                        </wps:style>
                        <wps:bodyPr/>
                      </wps:wsp>
                      <wps:wsp>
                        <wps:cNvSpPr/>
                        <wps:spPr>
                          <a:xfrm>
                            <a:off x="0" y="0"/>
                            <a:ext cx="1438920" cy="1438920"/>
                          </a:xfrm>
                          <a:prstGeom prst="rect">
                            <a:avLst/>
                          </a:prstGeom>
                          <a:solidFill>
                            <a:srgbClr val="bbe0e3">
                              <a:alpha val="72000"/>
                            </a:srgbClr>
                          </a:solidFill>
                          <a:ln w="9360">
                            <a:noFill/>
                          </a:ln>
                        </wps:spPr>
                        <wps:style>
                          <a:lnRef idx="0"/>
                          <a:fillRef idx="0"/>
                          <a:effectRef idx="0"/>
                          <a:fontRef idx="minor"/>
                        </wps:style>
                        <wps:bodyPr/>
                      </wps:wsp>
                      <pic:pic xmlns:pic="http://schemas.openxmlformats.org/drawingml/2006/picture">
                        <pic:nvPicPr>
                          <pic:cNvPr id="0" name="Picture 10" descr=""/>
                          <pic:cNvPicPr/>
                        </pic:nvPicPr>
                        <pic:blipFill>
                          <a:blip r:embed="rId2"/>
                          <a:srcRect l="1364" t="56847" r="-9654" b="1348"/>
                          <a:stretch/>
                        </pic:blipFill>
                        <pic:spPr>
                          <a:xfrm>
                            <a:off x="0" y="8512200"/>
                            <a:ext cx="7863840" cy="1889280"/>
                          </a:xfrm>
                          <a:prstGeom prst="rect">
                            <a:avLst/>
                          </a:prstGeom>
                          <a:ln>
                            <a:noFill/>
                          </a:ln>
                        </pic:spPr>
                      </pic:pic>
                    </wpg:wgp>
                  </a:graphicData>
                </a:graphic>
              </wp:anchor>
            </w:drawing>
          </mc:Choice>
          <mc:Fallback>
            <w:pict>
              <v:group id="shape_0" alt="Group 2" style="position:absolute;margin-left:-55.25pt;margin-top:-59.45pt;width:619.2pt;height:819pt" coordorigin="-1105,-1189" coordsize="12384,16380">
                <v:rect id="shape_0" ID="Rectangle 7" fillcolor="#cacaca" stroked="f" style="position:absolute;left:-1105;top:-1189;width:2265;height:14447">
                  <w10:wrap type="none"/>
                  <v:fill o:detectmouseclick="t" type="solid" color2="#353535"/>
                  <v:stroke color="#3465a4" weight="9360" joinstyle="miter" endcap="flat"/>
                </v:rect>
                <v:rect id="shape_0" ID="Rectangle 9" fillcolor="#cacaca" stroked="f" style="position:absolute;left:215;top:-1189;width:9871;height:2265">
                  <w10:wrap type="none"/>
                  <v:fill o:detectmouseclick="t" type="solid" color2="#353535" opacity="0.71"/>
                  <v:stroke color="#3465a4" weight="9360" joinstyle="miter" endcap="flat"/>
                </v:rect>
                <v:rect id="shape_0" ID="Rectangle 10" fillcolor="#bbe0e3" stroked="f" style="position:absolute;left:-1105;top:-1189;width:2265;height:2265">
                  <w10:wrap type="none"/>
                  <v:fill o:detectmouseclick="t" type="solid" color2="#441f1c" opacity="0.71"/>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0" stroked="f" style="position:absolute;left:-1105;top:12216;width:12383;height:2974" type="shapetype_75">
                  <v:imagedata r:id="rId2" o:detectmouseclick="t"/>
                  <w10:wrap type="none"/>
                  <v:stroke color="#3465a4" joinstyle="round" endcap="flat"/>
                </v:shape>
              </v:group>
            </w:pict>
          </mc:Fallback>
        </mc:AlternateContent>
        <mc:AlternateContent>
          <mc:Choice Requires="wps">
            <w:drawing>
              <wp:anchor behindDoc="0" distT="0" distB="0" distL="114300" distR="114300" simplePos="0" locked="0" layoutInCell="1" allowOverlap="1" relativeHeight="3" wp14:anchorId="10CF8FD7">
                <wp:simplePos x="0" y="0"/>
                <wp:positionH relativeFrom="column">
                  <wp:posOffset>783590</wp:posOffset>
                </wp:positionH>
                <wp:positionV relativeFrom="paragraph">
                  <wp:posOffset>3290570</wp:posOffset>
                </wp:positionV>
                <wp:extent cx="5616575" cy="2964815"/>
                <wp:effectExtent l="0" t="0" r="3810" b="7620"/>
                <wp:wrapNone/>
                <wp:docPr id="2" name="Text Box 5"/>
                <a:graphic xmlns:a="http://schemas.openxmlformats.org/drawingml/2006/main">
                  <a:graphicData uri="http://schemas.microsoft.com/office/word/2010/wordprocessingShape">
                    <wps:wsp>
                      <wps:cNvSpPr/>
                      <wps:spPr>
                        <a:xfrm>
                          <a:off x="0" y="0"/>
                          <a:ext cx="5616000" cy="29642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jc w:val="center"/>
                              <w:rPr/>
                            </w:pPr>
                            <w:r>
                              <w:rPr>
                                <w:rFonts w:eastAsia="Times New Roman"/>
                                <w:b/>
                                <w:color w:val="860051"/>
                                <w:spacing w:val="-2"/>
                                <w:sz w:val="48"/>
                                <w:szCs w:val="48"/>
                                <w:lang w:val="en-US"/>
                              </w:rPr>
                              <w:t xml:space="preserve">Predicting intensive care unit admission </w:t>
                            </w:r>
                            <w:ins w:id="0" w:author="Martin Gerdin Wärnberg" w:date="2020-10-06T21:42:38Z">
                              <w:r>
                                <w:rPr>
                                  <w:rFonts w:eastAsia="Times New Roman"/>
                                  <w:b/>
                                  <w:color w:val="860051"/>
                                  <w:spacing w:val="-2"/>
                                  <w:sz w:val="48"/>
                                  <w:szCs w:val="48"/>
                                  <w:lang w:val="en-US"/>
                                </w:rPr>
                                <w:t xml:space="preserve">in trauma patients </w:t>
                              </w:r>
                            </w:ins>
                            <w:r>
                              <w:rPr>
                                <w:rFonts w:eastAsia="Times New Roman"/>
                                <w:b/>
                                <w:color w:val="860051"/>
                                <w:spacing w:val="-2"/>
                                <w:sz w:val="48"/>
                                <w:szCs w:val="48"/>
                                <w:lang w:val="en-US"/>
                              </w:rPr>
                              <w:t xml:space="preserve">using the quick sequential organ failure assessment score (qSOFA). </w:t>
                            </w:r>
                          </w:p>
                          <w:p>
                            <w:pPr>
                              <w:pStyle w:val="FrameContents"/>
                              <w:spacing w:lineRule="auto" w:line="240" w:before="0" w:after="0"/>
                              <w:jc w:val="center"/>
                              <w:rPr>
                                <w:rFonts w:eastAsia="Calibri"/>
                                <w:b/>
                                <w:b/>
                              </w:rPr>
                            </w:pPr>
                            <w:r>
                              <w:rPr>
                                <w:rFonts w:eastAsia="Calibri"/>
                                <w:b/>
                              </w:rPr>
                            </w:r>
                          </w:p>
                          <w:p>
                            <w:pPr>
                              <w:pStyle w:val="FrameContents"/>
                              <w:spacing w:lineRule="auto" w:line="240" w:before="0" w:after="0"/>
                              <w:jc w:val="center"/>
                              <w:rPr>
                                <w:rFonts w:eastAsia="Calibri"/>
                                <w:lang w:val="en-US"/>
                              </w:rPr>
                            </w:pPr>
                            <w:r>
                              <w:rPr>
                                <w:lang w:val="en-US"/>
                              </w:rPr>
                              <w:t>Project report</w:t>
                            </w:r>
                          </w:p>
                          <w:p>
                            <w:pPr>
                              <w:pStyle w:val="FrameContents"/>
                              <w:spacing w:lineRule="auto" w:line="240" w:before="0" w:after="0"/>
                              <w:jc w:val="center"/>
                              <w:rPr>
                                <w:rFonts w:eastAsia="Calibri"/>
                                <w:b/>
                                <w:b/>
                              </w:rPr>
                            </w:pPr>
                            <w:r>
                              <w:rPr>
                                <w:b/>
                              </w:rPr>
                              <w:t>Författare:</w:t>
                            </w:r>
                            <w:r>
                              <w:rPr>
                                <w:rFonts w:eastAsia="Calibri" w:ascii="Calibri" w:hAnsi="Calibri"/>
                              </w:rPr>
                              <w:t xml:space="preserve"> </w:t>
                            </w:r>
                            <w:r>
                              <w:rPr>
                                <w:rFonts w:eastAsia="Calibri"/>
                                <w:b/>
                              </w:rPr>
                              <w:t>Björn Lindberg</w:t>
                            </w:r>
                          </w:p>
                          <w:p>
                            <w:pPr>
                              <w:pStyle w:val="FrameContents"/>
                              <w:spacing w:lineRule="auto" w:line="240" w:before="0" w:after="0"/>
                              <w:jc w:val="center"/>
                              <w:rPr/>
                            </w:pPr>
                            <w:r>
                              <w:rPr/>
                            </w:r>
                          </w:p>
                        </w:txbxContent>
                      </wps:txbx>
                      <wps:bodyPr>
                        <a:prstTxWarp prst="textNoShape"/>
                        <a:noAutofit/>
                      </wps:bodyPr>
                    </wps:wsp>
                  </a:graphicData>
                </a:graphic>
              </wp:anchor>
            </w:drawing>
          </mc:Choice>
          <mc:Fallback>
            <w:pict>
              <v:rect id="shape_0" ID="Text Box 5" fillcolor="white" stroked="f" style="position:absolute;margin-left:61.7pt;margin-top:259.1pt;width:442.15pt;height:233.35pt" wp14:anchorId="10CF8FD7">
                <w10:wrap type="square"/>
                <v:fill o:detectmouseclick="t" type="solid" color2="black"/>
                <v:stroke color="#3465a4" weight="6480" joinstyle="round" endcap="flat"/>
                <v:textbox>
                  <w:txbxContent>
                    <w:p>
                      <w:pPr>
                        <w:pStyle w:val="FrameContents"/>
                        <w:spacing w:lineRule="auto" w:line="240"/>
                        <w:jc w:val="center"/>
                        <w:rPr/>
                      </w:pPr>
                      <w:r>
                        <w:rPr>
                          <w:rFonts w:eastAsia="Times New Roman"/>
                          <w:b/>
                          <w:color w:val="860051"/>
                          <w:spacing w:val="-2"/>
                          <w:sz w:val="48"/>
                          <w:szCs w:val="48"/>
                          <w:lang w:val="en-US"/>
                        </w:rPr>
                        <w:t xml:space="preserve">Predicting intensive care unit admission </w:t>
                      </w:r>
                      <w:ins w:id="1" w:author="Martin Gerdin Wärnberg" w:date="2020-10-06T21:42:38Z">
                        <w:r>
                          <w:rPr>
                            <w:rFonts w:eastAsia="Times New Roman"/>
                            <w:b/>
                            <w:color w:val="860051"/>
                            <w:spacing w:val="-2"/>
                            <w:sz w:val="48"/>
                            <w:szCs w:val="48"/>
                            <w:lang w:val="en-US"/>
                          </w:rPr>
                          <w:t xml:space="preserve">in trauma patients </w:t>
                        </w:r>
                      </w:ins>
                      <w:r>
                        <w:rPr>
                          <w:rFonts w:eastAsia="Times New Roman"/>
                          <w:b/>
                          <w:color w:val="860051"/>
                          <w:spacing w:val="-2"/>
                          <w:sz w:val="48"/>
                          <w:szCs w:val="48"/>
                          <w:lang w:val="en-US"/>
                        </w:rPr>
                        <w:t xml:space="preserve">using the quick sequential organ failure assessment score (qSOFA). </w:t>
                      </w:r>
                    </w:p>
                    <w:p>
                      <w:pPr>
                        <w:pStyle w:val="FrameContents"/>
                        <w:spacing w:lineRule="auto" w:line="240" w:before="0" w:after="0"/>
                        <w:jc w:val="center"/>
                        <w:rPr>
                          <w:rFonts w:eastAsia="Calibri"/>
                          <w:b/>
                          <w:b/>
                        </w:rPr>
                      </w:pPr>
                      <w:r>
                        <w:rPr>
                          <w:rFonts w:eastAsia="Calibri"/>
                          <w:b/>
                        </w:rPr>
                      </w:r>
                    </w:p>
                    <w:p>
                      <w:pPr>
                        <w:pStyle w:val="FrameContents"/>
                        <w:spacing w:lineRule="auto" w:line="240" w:before="0" w:after="0"/>
                        <w:jc w:val="center"/>
                        <w:rPr>
                          <w:rFonts w:eastAsia="Calibri"/>
                          <w:lang w:val="en-US"/>
                        </w:rPr>
                      </w:pPr>
                      <w:r>
                        <w:rPr>
                          <w:lang w:val="en-US"/>
                        </w:rPr>
                        <w:t>Project report</w:t>
                      </w:r>
                    </w:p>
                    <w:p>
                      <w:pPr>
                        <w:pStyle w:val="FrameContents"/>
                        <w:spacing w:lineRule="auto" w:line="240" w:before="0" w:after="0"/>
                        <w:jc w:val="center"/>
                        <w:rPr>
                          <w:rFonts w:eastAsia="Calibri"/>
                          <w:b/>
                          <w:b/>
                        </w:rPr>
                      </w:pPr>
                      <w:r>
                        <w:rPr>
                          <w:b/>
                        </w:rPr>
                        <w:t>Författare:</w:t>
                      </w:r>
                      <w:r>
                        <w:rPr>
                          <w:rFonts w:eastAsia="Calibri" w:ascii="Calibri" w:hAnsi="Calibri"/>
                        </w:rPr>
                        <w:t xml:space="preserve"> </w:t>
                      </w:r>
                      <w:r>
                        <w:rPr>
                          <w:rFonts w:eastAsia="Calibri"/>
                          <w:b/>
                        </w:rPr>
                        <w:t>Björn Lindberg</w:t>
                      </w:r>
                    </w:p>
                    <w:p>
                      <w:pPr>
                        <w:pStyle w:val="FrameContents"/>
                        <w:spacing w:lineRule="auto" w:line="240" w:before="0" w:after="0"/>
                        <w:jc w:val="center"/>
                        <w:rPr/>
                      </w:pPr>
                      <w:r>
                        <w:rPr/>
                      </w:r>
                    </w:p>
                  </w:txbxContent>
                </v:textbox>
              </v:rect>
            </w:pict>
          </mc:Fallback>
        </mc:AlternateContent>
        <mc:AlternateContent>
          <mc:Choice Requires="wps">
            <w:drawing>
              <wp:anchor behindDoc="0" distT="0" distB="0" distL="114300" distR="114300" simplePos="0" locked="0" layoutInCell="1" allowOverlap="1" relativeHeight="5" wp14:anchorId="48A6CBDB">
                <wp:simplePos x="0" y="0"/>
                <wp:positionH relativeFrom="column">
                  <wp:posOffset>814070</wp:posOffset>
                </wp:positionH>
                <wp:positionV relativeFrom="paragraph">
                  <wp:posOffset>774065</wp:posOffset>
                </wp:positionV>
                <wp:extent cx="5545455" cy="1250315"/>
                <wp:effectExtent l="0" t="0" r="0" b="7620"/>
                <wp:wrapNone/>
                <wp:docPr id="4" name="Textruta 3"/>
                <a:graphic xmlns:a="http://schemas.openxmlformats.org/drawingml/2006/main">
                  <a:graphicData uri="http://schemas.microsoft.com/office/word/2010/wordprocessingShape">
                    <wps:wsp>
                      <wps:cNvSpPr/>
                      <wps:spPr>
                        <a:xfrm>
                          <a:off x="0" y="0"/>
                          <a:ext cx="5544720" cy="1249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200"/>
                              <w:rPr>
                                <w:color w:val="000000"/>
                              </w:rPr>
                            </w:pPr>
                            <w:r>
                              <w:rPr>
                                <w:color w:val="000000"/>
                              </w:rPr>
                              <w:t>Institutionen för global folkhälsa</w:t>
                            </w:r>
                            <w:r>
                              <w:fldChar w:fldCharType="begin"/>
                            </w:r>
                            <w:r>
                              <w:rPr/>
                              <w:instrText>AUTOTEXTLIST    \* MERGEFORMAT</w:instrText>
                            </w:r>
                            <w:r>
                              <w:rPr/>
                              <w:fldChar w:fldCharType="separate"/>
                            </w:r>
                            <w:bookmarkStart w:id="0" w:name="__Fieldmark__25_3056705999"/>
                            <w:r>
                              <w:rPr>
                                <w:color w:val="000000"/>
                              </w:rPr>
                            </w:r>
                            <w:r>
                              <w:rPr>
                                <w:color w:val="000000"/>
                              </w:rPr>
                            </w:r>
                            <w:r>
                              <w:rPr/>
                              <w:fldChar w:fldCharType="end"/>
                            </w:r>
                            <w:r>
                              <w:fldChar w:fldCharType="begin"/>
                            </w:r>
                            <w:r>
                              <w:rPr/>
                              <w:instrText>AUTOTEXTLIST    \* MERGEFORMAT</w:instrText>
                            </w:r>
                            <w:r>
                              <w:rPr/>
                              <w:fldChar w:fldCharType="separate"/>
                            </w:r>
                            <w:bookmarkStart w:id="1" w:name="__Fieldmark__27_3056705999"/>
                            <w:bookmarkEnd w:id="0"/>
                            <w:r>
                              <w:rPr>
                                <w:color w:val="000000"/>
                              </w:rPr>
                            </w:r>
                            <w:r>
                              <w:rPr>
                                <w:color w:val="000000"/>
                              </w:rPr>
                            </w:r>
                            <w:r>
                              <w:rPr/>
                              <w:fldChar w:fldCharType="end"/>
                            </w:r>
                            <w:bookmarkEnd w:id="1"/>
                            <w:r>
                              <w:rPr>
                                <w:rFonts w:eastAsia="Calibri"/>
                                <w:color w:val="000000"/>
                              </w:rPr>
                            </w:r>
                            <w:r>
                              <w:rPr>
                                <w:color w:val="000000"/>
                              </w:rPr>
                              <w:br/>
                            </w:r>
                            <w:r>
                              <w:rPr>
                                <w:rFonts w:eastAsia="Calibri"/>
                                <w:color w:val="000000"/>
                              </w:rPr>
                              <w:t>Björn Lindberg</w:t>
                            </w:r>
                            <w:r>
                              <w:rPr>
                                <w:color w:val="000000"/>
                              </w:rPr>
                              <w:br/>
                              <w:t>Läkarprogrammet KI</w:t>
                              <w:br/>
                              <w:t>Examensarbete 30 p</w:t>
                              <w:br/>
                              <w:t>Höstterminen 2020</w:t>
                            </w:r>
                          </w:p>
                        </w:txbxContent>
                      </wps:txbx>
                      <wps:bodyPr>
                        <a:prstTxWarp prst="textNoShape"/>
                        <a:noAutofit/>
                      </wps:bodyPr>
                    </wps:wsp>
                  </a:graphicData>
                </a:graphic>
              </wp:anchor>
            </w:drawing>
          </mc:Choice>
          <mc:Fallback>
            <w:pict>
              <v:rect id="shape_0" ID="Textruta 3" stroked="f" style="position:absolute;margin-left:64.1pt;margin-top:60.95pt;width:436.55pt;height:98.35pt" wp14:anchorId="48A6CBDB">
                <w10:wrap type="square"/>
                <v:fill o:detectmouseclick="t" on="false"/>
                <v:stroke color="#3465a4" weight="6480" joinstyle="round" endcap="flat"/>
                <v:textbox>
                  <w:txbxContent>
                    <w:p>
                      <w:pPr>
                        <w:pStyle w:val="FrameContents"/>
                        <w:spacing w:lineRule="auto" w:line="240" w:before="0" w:after="200"/>
                        <w:rPr>
                          <w:color w:val="000000"/>
                        </w:rPr>
                      </w:pPr>
                      <w:r>
                        <w:rPr>
                          <w:color w:val="000000"/>
                        </w:rPr>
                        <w:t>Institutionen för global folkhälsa</w:t>
                      </w:r>
                      <w:r>
                        <w:fldChar w:fldCharType="begin"/>
                      </w:r>
                      <w:r>
                        <w:rPr/>
                        <w:instrText>AUTOTEXTLIST    \* MERGEFORMAT</w:instrText>
                      </w:r>
                      <w:r>
                        <w:rPr/>
                        <w:fldChar w:fldCharType="separate"/>
                      </w:r>
                      <w:bookmarkStart w:id="2" w:name="__Fieldmark__25_3056705999"/>
                      <w:r>
                        <w:rPr>
                          <w:color w:val="000000"/>
                        </w:rPr>
                      </w:r>
                      <w:r>
                        <w:rPr>
                          <w:color w:val="000000"/>
                        </w:rPr>
                      </w:r>
                      <w:r>
                        <w:rPr/>
                        <w:fldChar w:fldCharType="end"/>
                      </w:r>
                      <w:r>
                        <w:fldChar w:fldCharType="begin"/>
                      </w:r>
                      <w:r>
                        <w:rPr/>
                        <w:instrText>AUTOTEXTLIST    \* MERGEFORMAT</w:instrText>
                      </w:r>
                      <w:r>
                        <w:rPr/>
                        <w:fldChar w:fldCharType="separate"/>
                      </w:r>
                      <w:bookmarkStart w:id="3" w:name="__Fieldmark__27_3056705999"/>
                      <w:bookmarkEnd w:id="2"/>
                      <w:r>
                        <w:rPr>
                          <w:color w:val="000000"/>
                        </w:rPr>
                      </w:r>
                      <w:r>
                        <w:rPr>
                          <w:color w:val="000000"/>
                        </w:rPr>
                      </w:r>
                      <w:r>
                        <w:rPr/>
                        <w:fldChar w:fldCharType="end"/>
                      </w:r>
                      <w:bookmarkEnd w:id="3"/>
                      <w:r>
                        <w:rPr>
                          <w:rFonts w:eastAsia="Calibri"/>
                          <w:color w:val="000000"/>
                        </w:rPr>
                      </w:r>
                      <w:r>
                        <w:rPr>
                          <w:color w:val="000000"/>
                        </w:rPr>
                        <w:br/>
                      </w:r>
                      <w:r>
                        <w:rPr>
                          <w:rFonts w:eastAsia="Calibri"/>
                          <w:color w:val="000000"/>
                        </w:rPr>
                        <w:t>Björn Lindberg</w:t>
                      </w:r>
                      <w:r>
                        <w:rPr>
                          <w:color w:val="000000"/>
                        </w:rPr>
                        <w:br/>
                        <w:t>Läkarprogrammet KI</w:t>
                        <w:br/>
                        <w:t>Examensarbete 30 p</w:t>
                        <w:br/>
                        <w:t>Höstterminen 2020</w:t>
                      </w:r>
                    </w:p>
                  </w:txbxContent>
                </v:textbox>
              </v:rect>
            </w:pict>
          </mc:Fallback>
        </mc:AlternateContent>
        <mc:AlternateContent>
          <mc:Choice Requires="wps">
            <w:drawing>
              <wp:anchor behindDoc="0" distT="0" distB="0" distL="114300" distR="114300" simplePos="0" locked="0" layoutInCell="1" allowOverlap="1" relativeHeight="6" wp14:anchorId="1AAF51F1">
                <wp:simplePos x="0" y="0"/>
                <wp:positionH relativeFrom="column">
                  <wp:posOffset>852170</wp:posOffset>
                </wp:positionH>
                <wp:positionV relativeFrom="paragraph">
                  <wp:posOffset>6902450</wp:posOffset>
                </wp:positionV>
                <wp:extent cx="5545455" cy="785495"/>
                <wp:effectExtent l="0" t="0" r="0" b="0"/>
                <wp:wrapNone/>
                <wp:docPr id="6" name="Textruta 4"/>
                <a:graphic xmlns:a="http://schemas.openxmlformats.org/drawingml/2006/main">
                  <a:graphicData uri="http://schemas.microsoft.com/office/word/2010/wordprocessingShape">
                    <wps:wsp>
                      <wps:cNvSpPr/>
                      <wps:spPr>
                        <a:xfrm>
                          <a:off x="0" y="0"/>
                          <a:ext cx="5544720" cy="784800"/>
                        </a:xfrm>
                        <a:prstGeom prst="rect">
                          <a:avLst/>
                        </a:prstGeom>
                        <a:noFill/>
                        <a:ln w="6480">
                          <a:noFill/>
                        </a:ln>
                      </wps:spPr>
                      <wps:style>
                        <a:lnRef idx="0"/>
                        <a:fillRef idx="0"/>
                        <a:effectRef idx="0"/>
                        <a:fontRef idx="minor"/>
                      </wps:style>
                      <wps:txbx>
                        <w:txbxContent>
                          <w:sdt>
                            <w:sdtPr>
                              <w:docPartObj>
                                <w:docPartGallery w:val="Cover Pages"/>
                                <w:docPartUnique w:val="true"/>
                              </w:docPartObj>
                              <w:id w:val="1022494789"/>
                            </w:sdtPr>
                            <w:sdtContent>
                              <w:p>
                                <w:pPr>
                                  <w:pStyle w:val="FrameContents"/>
                                  <w:spacing w:lineRule="auto" w:line="240" w:before="0" w:after="0"/>
                                  <w:jc w:val="right"/>
                                  <w:rPr>
                                    <w:color w:val="auto"/>
                                  </w:rPr>
                                </w:pPr>
                                <w:r>
                                  <w:rPr>
                                    <w:color w:val="auto"/>
                                  </w:rPr>
                                  <w:t xml:space="preserve">Handledare: </w:t>
                                </w:r>
                                <w:r>
                                  <w:rPr>
                                    <w:rFonts w:eastAsia="Calibri"/>
                                    <w:color w:val="auto"/>
                                  </w:rPr>
                                  <w:t>Martin Gerdin Wärnberg</w:t>
                                </w:r>
                              </w:p>
                              <w:p>
                                <w:pPr>
                                  <w:pStyle w:val="FrameContents"/>
                                  <w:spacing w:lineRule="auto" w:line="240" w:before="0" w:after="0"/>
                                  <w:jc w:val="right"/>
                                  <w:rPr>
                                    <w:rFonts w:eastAsia="Calibri"/>
                                  </w:rPr>
                                </w:pPr>
                                <w:r>
                                  <w:rPr>
                                    <w:color w:val="auto"/>
                                  </w:rPr>
                                  <w:t xml:space="preserve">Bihandledare: </w:t>
                                </w:r>
                                <w:r>
                                  <w:rPr>
                                    <w:rFonts w:eastAsia="Calibri"/>
                                    <w:color w:val="auto"/>
                                  </w:rPr>
                                  <w:t>Kapil Dev Soni</w:t>
                                </w:r>
                              </w:p>
                              <w:p>
                                <w:pPr>
                                  <w:pStyle w:val="FrameContents"/>
                                  <w:spacing w:lineRule="auto" w:line="240" w:before="0" w:after="0"/>
                                  <w:jc w:val="right"/>
                                  <w:rPr>
                                    <w:color w:val="auto"/>
                                  </w:rPr>
                                </w:pPr>
                                <w:r>
                                  <w:rPr>
                                    <w:color w:val="auto"/>
                                  </w:rPr>
                                </w:r>
                              </w:p>
                            </w:sdtContent>
                          </w:sdt>
                        </w:txbxContent>
                      </wps:txbx>
                      <wps:bodyPr>
                        <a:prstTxWarp prst="textNoShape"/>
                        <a:noAutofit/>
                      </wps:bodyPr>
                    </wps:wsp>
                  </a:graphicData>
                </a:graphic>
              </wp:anchor>
            </w:drawing>
          </mc:Choice>
          <mc:Fallback>
            <w:pict>
              <v:rect id="shape_0" ID="Textruta 4" stroked="f" style="position:absolute;margin-left:67.1pt;margin-top:543.5pt;width:436.55pt;height:61.75pt" wp14:anchorId="1AAF51F1">
                <w10:wrap type="square"/>
                <v:fill o:detectmouseclick="t" on="false"/>
                <v:stroke color="#3465a4" weight="6480" joinstyle="round" endcap="flat"/>
                <v:textbox>
                  <w:txbxContent>
                    <w:sdt>
                      <w:sdtPr>
                        <w:docPartObj>
                          <w:docPartGallery w:val="Cover Pages"/>
                          <w:docPartUnique w:val="true"/>
                        </w:docPartObj>
                        <w:id w:val="785440370"/>
                      </w:sdtPr>
                      <w:sdtContent>
                        <w:p>
                          <w:pPr>
                            <w:pStyle w:val="FrameContents"/>
                            <w:spacing w:lineRule="auto" w:line="240" w:before="0" w:after="0"/>
                            <w:jc w:val="right"/>
                            <w:rPr>
                              <w:color w:val="auto"/>
                            </w:rPr>
                          </w:pPr>
                          <w:r>
                            <w:rPr>
                              <w:color w:val="auto"/>
                            </w:rPr>
                            <w:t xml:space="preserve">Handledare: </w:t>
                          </w:r>
                          <w:r>
                            <w:rPr>
                              <w:rFonts w:eastAsia="Calibri"/>
                              <w:color w:val="auto"/>
                            </w:rPr>
                            <w:t>Martin Gerdin Wärnberg</w:t>
                          </w:r>
                        </w:p>
                        <w:p>
                          <w:pPr>
                            <w:pStyle w:val="FrameContents"/>
                            <w:spacing w:lineRule="auto" w:line="240" w:before="0" w:after="0"/>
                            <w:jc w:val="right"/>
                            <w:rPr>
                              <w:rFonts w:eastAsia="Calibri"/>
                            </w:rPr>
                          </w:pPr>
                          <w:r>
                            <w:rPr>
                              <w:color w:val="auto"/>
                            </w:rPr>
                            <w:t xml:space="preserve">Bihandledare: </w:t>
                          </w:r>
                          <w:r>
                            <w:rPr>
                              <w:rFonts w:eastAsia="Calibri"/>
                              <w:color w:val="auto"/>
                            </w:rPr>
                            <w:t>Kapil Dev Soni</w:t>
                          </w:r>
                        </w:p>
                        <w:p>
                          <w:pPr>
                            <w:pStyle w:val="FrameContents"/>
                            <w:spacing w:lineRule="auto" w:line="240" w:before="0" w:after="0"/>
                            <w:jc w:val="right"/>
                            <w:rPr>
                              <w:color w:val="auto"/>
                            </w:rPr>
                          </w:pPr>
                          <w:r>
                            <w:rPr>
                              <w:color w:val="auto"/>
                            </w:rPr>
                          </w:r>
                        </w:p>
                      </w:sdtContent>
                    </w:sdt>
                  </w:txbxContent>
                </v:textbox>
              </v:rect>
            </w:pict>
          </mc:Fallback>
        </mc:AlternateContent>
      </w:r>
      <w:r>
        <w:br w:type="page"/>
      </w:r>
    </w:p>
    <w:p>
      <w:pPr>
        <w:pStyle w:val="Normal"/>
        <w:rPr>
          <w:color w:val="860051"/>
        </w:rPr>
      </w:pPr>
      <w:r>
        <w:rPr>
          <w:color w:val="860051"/>
        </w:rPr>
        <w:drawing>
          <wp:anchor behindDoc="0" distT="0" distB="0" distL="114300" distR="114300" simplePos="0" locked="0" layoutInCell="1" allowOverlap="1" relativeHeight="4">
            <wp:simplePos x="0" y="0"/>
            <wp:positionH relativeFrom="column">
              <wp:posOffset>4128770</wp:posOffset>
            </wp:positionH>
            <wp:positionV relativeFrom="paragraph">
              <wp:posOffset>-869950</wp:posOffset>
            </wp:positionV>
            <wp:extent cx="2293620" cy="1146810"/>
            <wp:effectExtent l="0" t="0" r="0" b="0"/>
            <wp:wrapNone/>
            <wp:docPr id="8"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Description: C:\Users\krilei\AppData\Local\Microsoft\Windows\Temporary Internet Files\Content.IE5\VR7RAWXZ\KI-Logo_cmyk.tiff"/>
                    <pic:cNvPicPr>
                      <a:picLocks noChangeAspect="1" noChangeArrowheads="1"/>
                    </pic:cNvPicPr>
                  </pic:nvPicPr>
                  <pic:blipFill>
                    <a:blip r:embed="rId3"/>
                    <a:stretch>
                      <a:fillRect/>
                    </a:stretch>
                  </pic:blipFill>
                  <pic:spPr bwMode="auto">
                    <a:xfrm>
                      <a:off x="0" y="0"/>
                      <a:ext cx="2293620" cy="1146810"/>
                    </a:xfrm>
                    <a:prstGeom prst="rect">
                      <a:avLst/>
                    </a:prstGeom>
                  </pic:spPr>
                </pic:pic>
              </a:graphicData>
            </a:graphic>
          </wp:anchor>
        </w:drawing>
      </w:r>
    </w:p>
    <w:p>
      <w:pPr>
        <w:pStyle w:val="Normal"/>
        <w:keepNext w:val="true"/>
        <w:keepLines/>
        <w:numPr>
          <w:ilvl w:val="0"/>
          <w:numId w:val="0"/>
        </w:numPr>
        <w:spacing w:before="0" w:after="0"/>
        <w:jc w:val="both"/>
        <w:outlineLvl w:val="0"/>
        <w:rPr/>
      </w:pPr>
      <w:r>
        <w:rPr>
          <w:rFonts w:eastAsia="Times New Roman"/>
          <w:b/>
          <w:bCs/>
          <w:sz w:val="22"/>
          <w:szCs w:val="22"/>
        </w:rPr>
        <w:fldChar w:fldCharType="begin"/>
      </w:r>
      <w:r>
        <w:rPr>
          <w:sz w:val="22"/>
          <w:b/>
          <w:szCs w:val="22"/>
          <w:bCs/>
          <w:rFonts w:eastAsia="Times New Roman"/>
        </w:rPr>
        <w:instrText> MACROBUTTONAcceptAllChangesShown "Sida för Sammanfattning/Abstract" </w:instrText>
      </w:r>
      <w:r>
        <w:rPr>
          <w:sz w:val="22"/>
          <w:b/>
          <w:szCs w:val="22"/>
          <w:bCs/>
          <w:rFonts w:eastAsia="Times New Roman"/>
        </w:rPr>
        <w:fldChar w:fldCharType="separate"/>
      </w:r>
      <w:r>
        <w:rPr>
          <w:sz w:val="22"/>
          <w:b/>
          <w:szCs w:val="22"/>
          <w:bCs/>
          <w:rFonts w:eastAsia="Times New Roman"/>
        </w:rPr>
        <w:t xml:space="preserve">"Sida för Sammanfattning/Abstract" </w:t>
      </w:r>
      <w:r>
        <w:rPr>
          <w:sz w:val="22"/>
          <w:b/>
          <w:szCs w:val="22"/>
          <w:bCs/>
          <w:rFonts w:eastAsia="Times New Roman"/>
        </w:rPr>
        <w:fldChar w:fldCharType="end"/>
      </w:r>
    </w:p>
    <w:p>
      <w:pPr>
        <w:pStyle w:val="Normal"/>
        <w:spacing w:lineRule="auto" w:line="240" w:before="0" w:after="0"/>
        <w:jc w:val="both"/>
        <w:rPr>
          <w:rFonts w:eastAsia="Times New Roman"/>
          <w:iCs/>
          <w:sz w:val="22"/>
          <w:szCs w:val="22"/>
        </w:rPr>
      </w:pPr>
      <w:r>
        <w:rPr>
          <w:rFonts w:eastAsia="Times New Roman"/>
          <w:iCs/>
          <w:sz w:val="22"/>
          <w:szCs w:val="22"/>
        </w:rPr>
      </w:r>
    </w:p>
    <w:p>
      <w:pPr>
        <w:pStyle w:val="Normal"/>
        <w:spacing w:lineRule="auto" w:line="240" w:before="0" w:after="0"/>
        <w:jc w:val="both"/>
        <w:rPr>
          <w:rFonts w:eastAsia="Times New Roman"/>
          <w:iCs/>
          <w:sz w:val="22"/>
          <w:szCs w:val="22"/>
        </w:rPr>
      </w:pPr>
      <w:r>
        <w:rPr>
          <w:rFonts w:eastAsia="Times New Roman"/>
          <w:iCs/>
          <w:sz w:val="22"/>
          <w:szCs w:val="22"/>
        </w:rPr>
      </w:r>
    </w:p>
    <w:p>
      <w:pPr>
        <w:pStyle w:val="Normal"/>
        <w:numPr>
          <w:ilvl w:val="0"/>
          <w:numId w:val="0"/>
        </w:numPr>
        <w:spacing w:before="0" w:after="0"/>
        <w:jc w:val="both"/>
        <w:outlineLvl w:val="0"/>
        <w:rPr/>
      </w:pPr>
      <w:r>
        <w:rPr>
          <w:rFonts w:eastAsia="Times New Roman"/>
          <w:b/>
          <w:bCs/>
          <w:sz w:val="22"/>
          <w:szCs w:val="22"/>
        </w:rPr>
        <w:fldChar w:fldCharType="begin"/>
      </w:r>
      <w:r>
        <w:rPr>
          <w:sz w:val="22"/>
          <w:b/>
          <w:szCs w:val="22"/>
          <w:bCs/>
          <w:rFonts w:eastAsia="Times New Roman"/>
        </w:rPr>
        <w:instrText> MACROBUTTONAcceptAllConflictsInDoc "Titel på uppsatsen på svenska placeras här" </w:instrText>
      </w:r>
      <w:r>
        <w:rPr>
          <w:sz w:val="22"/>
          <w:b/>
          <w:szCs w:val="22"/>
          <w:bCs/>
          <w:rFonts w:eastAsia="Times New Roman"/>
        </w:rPr>
        <w:fldChar w:fldCharType="separate"/>
      </w:r>
      <w:r>
        <w:rPr>
          <w:sz w:val="22"/>
          <w:b/>
          <w:szCs w:val="22"/>
          <w:bCs/>
          <w:rFonts w:eastAsia="Times New Roman"/>
        </w:rPr>
        <w:t xml:space="preserve">"Titel på uppsatsen på svenska placeras här" </w:t>
      </w:r>
      <w:r>
        <w:rPr>
          <w:sz w:val="22"/>
          <w:b/>
          <w:szCs w:val="22"/>
          <w:bCs/>
          <w:rFonts w:eastAsia="Times New Roman"/>
        </w:rPr>
        <w:fldChar w:fldCharType="end"/>
      </w:r>
    </w:p>
    <w:p>
      <w:pPr>
        <w:pStyle w:val="Normal"/>
        <w:numPr>
          <w:ilvl w:val="0"/>
          <w:numId w:val="0"/>
        </w:numPr>
        <w:spacing w:before="0" w:after="0"/>
        <w:jc w:val="both"/>
        <w:outlineLvl w:val="0"/>
        <w:rPr>
          <w:bCs/>
          <w:sz w:val="22"/>
          <w:szCs w:val="22"/>
        </w:rPr>
      </w:pPr>
      <w:r>
        <w:rPr>
          <w:bCs/>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jc w:val="both"/>
        <w:rPr>
          <w:sz w:val="22"/>
          <w:szCs w:val="22"/>
        </w:rPr>
      </w:pPr>
      <w:r>
        <w:rPr>
          <w:i/>
          <w:sz w:val="22"/>
          <w:szCs w:val="22"/>
        </w:rPr>
        <w:t>Bakgrund:</w:t>
      </w:r>
      <w:r>
        <w:rPr>
          <w:sz w:val="22"/>
          <w:szCs w:val="22"/>
        </w:rPr>
        <w:t xml:space="preserve">     </w:t>
      </w:r>
      <w:r>
        <w:rPr>
          <w:rFonts w:cs="Helvetica"/>
          <w:color w:val="000000"/>
          <w:sz w:val="22"/>
          <w:szCs w:val="22"/>
        </w:rPr>
        <w:t xml:space="preserve"> </w:t>
      </w:r>
      <w:r>
        <w:rPr>
          <w:rFonts w:cs="Helvetica"/>
          <w:i/>
          <w:color w:val="000000"/>
          <w:sz w:val="22"/>
          <w:szCs w:val="22"/>
        </w:rPr>
        <w:t>Syfte</w:t>
      </w:r>
      <w:r>
        <w:rPr>
          <w:rFonts w:cs="Helvetica"/>
          <w:color w:val="000000"/>
          <w:sz w:val="22"/>
          <w:szCs w:val="22"/>
        </w:rPr>
        <w:t xml:space="preserve">:      </w:t>
      </w:r>
      <w:r>
        <w:rPr>
          <w:sz w:val="22"/>
          <w:szCs w:val="22"/>
        </w:rPr>
        <w:t>.</w:t>
      </w:r>
      <w:r>
        <w:rPr>
          <w:rFonts w:cs="Helvetica" w:ascii="Helvetica" w:hAnsi="Helvetica"/>
          <w:color w:val="000000"/>
          <w:sz w:val="22"/>
          <w:szCs w:val="22"/>
        </w:rPr>
        <w:t xml:space="preserve"> </w:t>
      </w:r>
      <w:r>
        <w:rPr>
          <w:i/>
          <w:sz w:val="22"/>
          <w:szCs w:val="22"/>
        </w:rPr>
        <w:t>Material och Metoder:</w:t>
      </w:r>
      <w:r>
        <w:rPr>
          <w:sz w:val="22"/>
          <w:szCs w:val="22"/>
        </w:rPr>
        <w:t xml:space="preserve">        </w:t>
      </w:r>
      <w:r>
        <w:rPr>
          <w:i/>
          <w:sz w:val="22"/>
          <w:szCs w:val="22"/>
        </w:rPr>
        <w:t>Resultat</w:t>
      </w:r>
      <w:r>
        <w:rPr>
          <w:sz w:val="22"/>
          <w:szCs w:val="22"/>
        </w:rPr>
        <w:t xml:space="preserve">:        </w:t>
      </w:r>
      <w:r>
        <w:rPr>
          <w:i/>
          <w:sz w:val="22"/>
          <w:szCs w:val="22"/>
        </w:rPr>
        <w:t>Slutsats</w:t>
      </w:r>
      <w:r>
        <w:rPr>
          <w:sz w:val="22"/>
          <w:szCs w:val="22"/>
        </w:rPr>
        <w:t xml:space="preserve">:    </w:t>
      </w:r>
    </w:p>
    <w:p>
      <w:pPr>
        <w:pStyle w:val="Normal"/>
        <w:spacing w:before="0" w:after="0"/>
        <w:jc w:val="both"/>
        <w:rPr>
          <w:bCs/>
          <w:sz w:val="22"/>
          <w:szCs w:val="22"/>
        </w:rPr>
      </w:pPr>
      <w:r>
        <w:rPr>
          <w:bCs/>
          <w:sz w:val="22"/>
          <w:szCs w:val="22"/>
        </w:rPr>
      </w:r>
    </w:p>
    <w:p>
      <w:pPr>
        <w:pStyle w:val="Normal"/>
        <w:spacing w:before="0" w:after="0"/>
        <w:jc w:val="both"/>
        <w:rPr>
          <w:bCs/>
          <w:sz w:val="22"/>
          <w:szCs w:val="22"/>
        </w:rPr>
      </w:pPr>
      <w:r>
        <w:rPr>
          <w:bCs/>
          <w:sz w:val="22"/>
          <w:szCs w:val="22"/>
        </w:rPr>
      </w:r>
    </w:p>
    <w:p>
      <w:pPr>
        <w:pStyle w:val="Normal"/>
        <w:spacing w:before="0" w:after="0"/>
        <w:jc w:val="both"/>
        <w:rPr>
          <w:bCs/>
          <w:sz w:val="22"/>
          <w:szCs w:val="22"/>
        </w:rPr>
      </w:pPr>
      <w:r>
        <w:rPr>
          <w:bCs/>
          <w:sz w:val="22"/>
          <w:szCs w:val="22"/>
        </w:rPr>
      </w:r>
    </w:p>
    <w:p>
      <w:pPr>
        <w:pStyle w:val="Normal"/>
        <w:numPr>
          <w:ilvl w:val="0"/>
          <w:numId w:val="0"/>
        </w:numPr>
        <w:spacing w:before="0" w:after="0"/>
        <w:jc w:val="both"/>
        <w:outlineLvl w:val="0"/>
        <w:rPr/>
      </w:pPr>
      <w:r>
        <w:rPr>
          <w:rFonts w:eastAsia="Times New Roman"/>
          <w:b/>
          <w:bCs/>
          <w:sz w:val="22"/>
          <w:szCs w:val="22"/>
        </w:rPr>
        <w:fldChar w:fldCharType="begin"/>
      </w:r>
      <w:r>
        <w:rPr>
          <w:sz w:val="22"/>
          <w:b/>
          <w:szCs w:val="22"/>
          <w:bCs/>
          <w:rFonts w:eastAsia="Times New Roman"/>
        </w:rPr>
        <w:instrText> MACROBUTTONAcceptAllConflictsInDoc "Title in English" </w:instrText>
      </w:r>
      <w:r>
        <w:rPr>
          <w:sz w:val="22"/>
          <w:b/>
          <w:szCs w:val="22"/>
          <w:bCs/>
          <w:rFonts w:eastAsia="Times New Roman"/>
        </w:rPr>
        <w:fldChar w:fldCharType="separate"/>
      </w:r>
      <w:r>
        <w:rPr>
          <w:sz w:val="22"/>
          <w:b/>
          <w:szCs w:val="22"/>
          <w:bCs/>
          <w:rFonts w:eastAsia="Times New Roman"/>
        </w:rPr>
        <w:t xml:space="preserve">"Title in English" </w:t>
      </w:r>
      <w:r>
        <w:rPr>
          <w:sz w:val="22"/>
          <w:b/>
          <w:szCs w:val="22"/>
          <w:bCs/>
          <w:rFonts w:eastAsia="Times New Roman"/>
        </w:rPr>
        <w:fldChar w:fldCharType="end"/>
      </w:r>
    </w:p>
    <w:p>
      <w:pPr>
        <w:pStyle w:val="Normal"/>
        <w:numPr>
          <w:ilvl w:val="0"/>
          <w:numId w:val="0"/>
        </w:numPr>
        <w:spacing w:before="0" w:after="0"/>
        <w:jc w:val="both"/>
        <w:outlineLvl w:val="0"/>
        <w:rPr>
          <w:bCs/>
          <w:sz w:val="22"/>
          <w:szCs w:val="22"/>
        </w:rPr>
      </w:pPr>
      <w:r>
        <w:rPr>
          <w:bCs/>
          <w:sz w:val="22"/>
          <w:szCs w:val="22"/>
        </w:rPr>
      </w:r>
    </w:p>
    <w:p>
      <w:pPr>
        <w:pStyle w:val="Normal"/>
        <w:spacing w:before="0" w:after="0"/>
        <w:jc w:val="both"/>
        <w:rPr>
          <w:bCs/>
          <w:sz w:val="22"/>
          <w:szCs w:val="22"/>
        </w:rPr>
      </w:pPr>
      <w:r>
        <w:rPr>
          <w:bCs/>
          <w:i/>
          <w:sz w:val="22"/>
          <w:szCs w:val="22"/>
          <w:lang w:val="en-US"/>
        </w:rPr>
        <w:t>Introduction:</w:t>
      </w:r>
      <w:r>
        <w:rPr>
          <w:bCs/>
          <w:sz w:val="22"/>
          <w:szCs w:val="22"/>
          <w:lang w:val="en-US"/>
        </w:rPr>
        <w:t xml:space="preserve">   </w:t>
      </w:r>
      <w:r>
        <w:rPr>
          <w:bCs/>
          <w:i/>
          <w:sz w:val="22"/>
          <w:szCs w:val="22"/>
          <w:lang w:val="en-US"/>
        </w:rPr>
        <w:t>Aims:</w:t>
      </w:r>
      <w:r>
        <w:rPr>
          <w:bCs/>
          <w:sz w:val="22"/>
          <w:szCs w:val="22"/>
          <w:lang w:val="en-US"/>
        </w:rPr>
        <w:t xml:space="preserve">   . </w:t>
      </w:r>
      <w:r>
        <w:rPr>
          <w:bCs/>
          <w:i/>
          <w:sz w:val="22"/>
          <w:szCs w:val="22"/>
          <w:lang w:val="en-US"/>
        </w:rPr>
        <w:t>Material and Methods:</w:t>
      </w:r>
      <w:r>
        <w:rPr>
          <w:bCs/>
          <w:sz w:val="22"/>
          <w:szCs w:val="22"/>
          <w:lang w:val="en-US"/>
        </w:rPr>
        <w:t xml:space="preserve">       . </w:t>
      </w:r>
      <w:r>
        <w:rPr>
          <w:bCs/>
          <w:i/>
          <w:sz w:val="22"/>
          <w:szCs w:val="22"/>
        </w:rPr>
        <w:t>Results:</w:t>
      </w:r>
      <w:r>
        <w:rPr>
          <w:bCs/>
          <w:sz w:val="22"/>
          <w:szCs w:val="22"/>
        </w:rPr>
        <w:t xml:space="preserve">         . </w:t>
      </w:r>
      <w:r>
        <w:rPr>
          <w:bCs/>
          <w:i/>
          <w:sz w:val="22"/>
          <w:szCs w:val="22"/>
        </w:rPr>
        <w:t>Conclusions:</w:t>
      </w:r>
      <w:r>
        <w:rPr>
          <w:bCs/>
          <w:sz w:val="22"/>
          <w:szCs w:val="22"/>
        </w:rPr>
        <w:t xml:space="preserve">   . </w:t>
      </w:r>
    </w:p>
    <w:p>
      <w:pPr>
        <w:pStyle w:val="Normal"/>
        <w:spacing w:before="0" w:after="0"/>
        <w:jc w:val="both"/>
        <w:rPr>
          <w:bCs/>
          <w:sz w:val="22"/>
          <w:szCs w:val="22"/>
        </w:rPr>
      </w:pPr>
      <w:r>
        <w:rPr>
          <w:bCs/>
          <w:sz w:val="22"/>
          <w:szCs w:val="22"/>
        </w:rPr>
      </w:r>
    </w:p>
    <w:p>
      <w:pPr>
        <w:pStyle w:val="Normal"/>
        <w:numPr>
          <w:ilvl w:val="0"/>
          <w:numId w:val="0"/>
        </w:numPr>
        <w:spacing w:before="0" w:after="0"/>
        <w:jc w:val="both"/>
        <w:outlineLvl w:val="0"/>
        <w:rPr>
          <w:bCs/>
          <w:i/>
          <w:i/>
          <w:sz w:val="22"/>
          <w:szCs w:val="22"/>
        </w:rPr>
      </w:pPr>
      <w:r>
        <w:rPr>
          <w:bCs/>
          <w:i/>
          <w:sz w:val="22"/>
          <w:szCs w:val="22"/>
        </w:rPr>
      </w:r>
    </w:p>
    <w:p>
      <w:pPr>
        <w:pStyle w:val="Normal"/>
        <w:numPr>
          <w:ilvl w:val="0"/>
          <w:numId w:val="0"/>
        </w:numPr>
        <w:spacing w:before="0" w:after="0"/>
        <w:jc w:val="both"/>
        <w:outlineLvl w:val="0"/>
        <w:rPr>
          <w:bCs/>
          <w:sz w:val="22"/>
          <w:szCs w:val="22"/>
        </w:rPr>
      </w:pPr>
      <w:r>
        <w:rPr>
          <w:bCs/>
          <w:i/>
          <w:sz w:val="22"/>
          <w:szCs w:val="22"/>
        </w:rPr>
        <w:t>Keywords:</w:t>
      </w:r>
      <w:r>
        <w:rPr>
          <w:bCs/>
          <w:sz w:val="22"/>
          <w:szCs w:val="22"/>
        </w:rPr>
        <w:t xml:space="preserve">   </w:t>
      </w:r>
    </w:p>
    <w:p>
      <w:pPr>
        <w:pStyle w:val="Normal"/>
        <w:spacing w:lineRule="auto" w:line="240" w:before="0" w:after="0"/>
        <w:jc w:val="both"/>
        <w:rPr>
          <w:rFonts w:eastAsia="Times New Roman"/>
          <w:iCs/>
          <w:sz w:val="22"/>
          <w:szCs w:val="22"/>
        </w:rPr>
      </w:pPr>
      <w:r>
        <w:rPr>
          <w:rFonts w:eastAsia="Times New Roman"/>
          <w:iCs/>
          <w:sz w:val="22"/>
          <w:szCs w:val="22"/>
        </w:rPr>
      </w:r>
    </w:p>
    <w:p>
      <w:pPr>
        <w:sectPr>
          <w:footerReference w:type="default" r:id="rId4"/>
          <w:type w:val="nextPage"/>
          <w:pgSz w:w="11906" w:h="16838"/>
          <w:pgMar w:left="1418" w:right="1418" w:header="0" w:top="1418" w:footer="709" w:bottom="1418" w:gutter="0"/>
          <w:pgNumType w:start="0" w:fmt="decimal"/>
          <w:formProt w:val="false"/>
          <w:titlePg/>
          <w:textDirection w:val="lrTb"/>
          <w:docGrid w:type="default" w:linePitch="360" w:charSpace="0"/>
        </w:sectPr>
        <w:pStyle w:val="Normal"/>
        <w:spacing w:lineRule="auto" w:line="360" w:before="0" w:after="0"/>
        <w:jc w:val="both"/>
        <w:rPr>
          <w:rFonts w:eastAsia="Times New Roman"/>
          <w:iCs/>
          <w:sz w:val="22"/>
          <w:szCs w:val="22"/>
        </w:rPr>
      </w:pPr>
      <w:r>
        <w:rPr>
          <w:rFonts w:eastAsia="Times New Roman"/>
          <w:iCs/>
          <w:sz w:val="22"/>
          <w:szCs w:val="22"/>
        </w:rPr>
      </w:r>
    </w:p>
    <w:p>
      <w:pPr>
        <w:sectPr>
          <w:footerReference w:type="default" r:id="rId5"/>
          <w:type w:val="nextPage"/>
          <w:pgSz w:w="11906" w:h="16838"/>
          <w:pgMar w:left="1418" w:right="1418" w:header="0" w:top="1418" w:footer="0" w:bottom="1418" w:gutter="0"/>
          <w:pgNumType w:start="0" w:fmt="decimal"/>
          <w:formProt w:val="false"/>
          <w:textDirection w:val="lrTb"/>
          <w:docGrid w:type="default" w:linePitch="360" w:charSpace="0"/>
        </w:sectPr>
        <w:pStyle w:val="Normal"/>
        <w:keepNext w:val="true"/>
        <w:keepLines/>
        <w:numPr>
          <w:ilvl w:val="0"/>
          <w:numId w:val="0"/>
        </w:numPr>
        <w:spacing w:before="0" w:after="0"/>
        <w:jc w:val="both"/>
        <w:outlineLvl w:val="0"/>
        <w:rPr/>
      </w:pPr>
      <w:r>
        <w:rPr>
          <w:rFonts w:eastAsia="Times New Roman"/>
          <w:b/>
          <w:bCs/>
          <w:sz w:val="32"/>
          <w:szCs w:val="32"/>
        </w:rPr>
        <w:fldChar w:fldCharType="begin"/>
      </w:r>
      <w:r>
        <w:rPr>
          <w:sz w:val="32"/>
          <w:b/>
          <w:szCs w:val="32"/>
          <w:bCs/>
          <w:rFonts w:eastAsia="Times New Roman"/>
        </w:rPr>
        <w:instrText> MACROBUTTONAcceptAllChangesShown "Sida för Förkortningar/Abbreviations" </w:instrText>
      </w:r>
      <w:r>
        <w:rPr>
          <w:sz w:val="32"/>
          <w:b/>
          <w:szCs w:val="32"/>
          <w:bCs/>
          <w:rFonts w:eastAsia="Times New Roman"/>
        </w:rPr>
        <w:fldChar w:fldCharType="separate"/>
      </w:r>
      <w:r>
        <w:rPr>
          <w:sz w:val="32"/>
          <w:b/>
          <w:szCs w:val="32"/>
          <w:bCs/>
          <w:rFonts w:eastAsia="Times New Roman"/>
        </w:rPr>
        <w:t xml:space="preserve">"Sida för Förkortningar/Abbreviations" </w:t>
      </w:r>
      <w:r>
        <w:rPr>
          <w:sz w:val="32"/>
          <w:b/>
          <w:szCs w:val="32"/>
          <w:bCs/>
          <w:rFonts w:eastAsia="Times New Roman"/>
        </w:rPr>
        <w:fldChar w:fldCharType="end"/>
      </w:r>
    </w:p>
    <w:p>
      <w:pPr>
        <w:pStyle w:val="Heading1"/>
        <w:rPr>
          <w:lang w:val="en-US"/>
        </w:rPr>
      </w:pPr>
      <w:r>
        <w:rPr>
          <w:lang w:val="en-US"/>
        </w:rPr>
        <w:t>Introduction</w:t>
      </w:r>
    </w:p>
    <w:p>
      <w:pPr>
        <w:pStyle w:val="Normal"/>
        <w:spacing w:lineRule="auto" w:line="360"/>
        <w:rPr/>
      </w:pPr>
      <w:r>
        <w:rPr>
          <w:lang w:val="en-US"/>
        </w:rPr>
        <w:t>Trauma is defined as the clinical entity composed of both physical injury and the body’s associated response</w:t>
      </w:r>
      <w:del w:id="2" w:author="Martin Gerdin Wärnberg" w:date="2020-10-06T21:43:12Z">
        <w:r>
          <w:rPr>
            <w:lang w:val="en-US"/>
          </w:rPr>
          <w:delText>.</w:delText>
        </w:r>
      </w:del>
      <w:r>
        <w:rPr>
          <w:lang w:val="en-US"/>
        </w:rPr>
        <w:t xml:space="preserve"> </w:t>
      </w:r>
      <w:commentRangeStart w:id="0"/>
      <w:r>
        <w:rPr>
          <w:lang w:val="en-US"/>
        </w:rPr>
        <w:t>[1]</w:t>
      </w:r>
      <w:ins w:id="3" w:author="Martin Gerdin Wärnberg" w:date="2020-10-06T21:43:15Z">
        <w:r>
          <w:rPr>
            <w:lang w:val="en-US"/>
          </w:rPr>
        </w:r>
      </w:ins>
      <w:ins w:id="4" w:author="Martin Gerdin Wärnberg" w:date="2020-10-06T21:43:15Z">
        <w:commentRangeEnd w:id="0"/>
        <w:r>
          <w:commentReference w:id="0"/>
        </w:r>
        <w:r>
          <w:rPr>
            <w:lang w:val="en-US"/>
          </w:rPr>
          <w:t>.</w:t>
        </w:r>
      </w:ins>
      <w:r>
        <w:rPr>
          <w:lang w:val="en-US"/>
        </w:rPr>
        <w:t xml:space="preserve"> Trauma patients are </w:t>
      </w:r>
      <w:del w:id="5" w:author="Martin Gerdin Wärnberg" w:date="2020-10-06T21:44:17Z">
        <w:r>
          <w:rPr>
            <w:lang w:val="en-US"/>
          </w:rPr>
          <w:delText xml:space="preserve">ais a </w:delText>
        </w:r>
      </w:del>
      <w:r>
        <w:rPr>
          <w:lang w:val="en-US"/>
        </w:rPr>
        <w:t xml:space="preserve">heterogenous </w:t>
      </w:r>
      <w:del w:id="6" w:author="Martin Gerdin Wärnberg" w:date="2020-10-06T21:44:20Z">
        <w:r>
          <w:rPr>
            <w:lang w:val="en-US"/>
          </w:rPr>
          <w:delText>group</w:delText>
        </w:r>
      </w:del>
      <w:r>
        <w:rPr>
          <w:lang w:val="en-US"/>
        </w:rPr>
        <w:t xml:space="preserve"> with</w:t>
      </w:r>
      <w:ins w:id="7" w:author="Martin Gerdin Wärnberg" w:date="2020-10-06T21:44:29Z">
        <w:r>
          <w:rPr>
            <w:lang w:val="en-US"/>
          </w:rPr>
          <w:t xml:space="preserve"> </w:t>
        </w:r>
      </w:ins>
      <w:ins w:id="8" w:author="Martin Gerdin Wärnberg" w:date="2020-10-06T21:44:29Z">
        <w:r>
          <w:rPr>
            <w:lang w:val="en-US"/>
          </w:rPr>
          <w:t>a</w:t>
        </w:r>
      </w:ins>
      <w:r>
        <w:rPr>
          <w:lang w:val="en-US"/>
        </w:rPr>
        <w:t xml:space="preserve"> wide range of different causes where some of the most prominent ones are traffic related injuries, falls, self-harm, interpersonal violence and burns. </w:t>
      </w:r>
      <w:commentRangeStart w:id="1"/>
      <w:r>
        <w:rPr>
          <w:lang w:val="en-US"/>
        </w:rPr>
        <w:t>It</w:t>
      </w:r>
      <w:ins w:id="9" w:author="Martin Gerdin Wärnberg" w:date="2020-10-06T21:44:43Z">
        <w:r>
          <w:rPr>
            <w:lang w:val="en-US"/>
          </w:rPr>
        </w:r>
      </w:ins>
      <w:commentRangeEnd w:id="1"/>
      <w:r>
        <w:commentReference w:id="1"/>
      </w:r>
      <w:r>
        <w:rPr>
          <w:lang w:val="en-US"/>
        </w:rPr>
        <w:t xml:space="preserve"> is a global health problem and the total number of injuries is estimated to be at least 520 million cases per year. [2] </w:t>
      </w:r>
      <w:commentRangeStart w:id="2"/>
      <w:r>
        <w:rPr>
          <w:lang w:val="en-US"/>
        </w:rPr>
        <w:t>The effects of trauma on patients and their families can be divided into non-fatal and fatal trauma.</w:t>
      </w:r>
      <w:ins w:id="10" w:author="Martin Gerdin Wärnberg" w:date="2020-10-06T21:45:08Z">
        <w:commentRangeEnd w:id="2"/>
        <w:r>
          <w:commentReference w:id="2"/>
        </w:r>
        <w:r>
          <w:rPr>
            <w:lang w:val="en-US"/>
          </w:rPr>
        </w:r>
      </w:ins>
    </w:p>
    <w:p>
      <w:pPr>
        <w:pStyle w:val="Normal"/>
        <w:spacing w:lineRule="auto" w:line="360"/>
        <w:rPr/>
      </w:pPr>
      <w:commentRangeStart w:id="3"/>
      <w:r>
        <w:rPr>
          <w:lang w:val="en-US"/>
        </w:rPr>
        <w:t>The</w:t>
      </w:r>
      <w:ins w:id="11" w:author="Martin Gerdin Wärnberg" w:date="2020-10-06T21:45:44Z">
        <w:r>
          <w:rPr>
            <w:lang w:val="en-US"/>
          </w:rPr>
        </w:r>
      </w:ins>
      <w:commentRangeEnd w:id="3"/>
      <w:r>
        <w:commentReference w:id="3"/>
      </w:r>
      <w:r>
        <w:rPr>
          <w:lang w:val="en-US"/>
        </w:rPr>
        <w:t xml:space="preserve"> effects of non-fatal trauma can be </w:t>
      </w:r>
      <w:commentRangeStart w:id="4"/>
      <w:r>
        <w:rPr>
          <w:lang w:val="en-US"/>
        </w:rPr>
        <w:t>subdivided</w:t>
      </w:r>
      <w:ins w:id="12" w:author="Martin Gerdin Wärnberg" w:date="2020-10-06T21:45:21Z">
        <w:r>
          <w:rPr>
            <w:lang w:val="en-US"/>
          </w:rPr>
        </w:r>
      </w:ins>
      <w:commentRangeEnd w:id="4"/>
      <w:r>
        <w:commentReference w:id="4"/>
      </w:r>
      <w:r>
        <w:rPr>
          <w:lang w:val="en-US"/>
        </w:rPr>
        <w:t xml:space="preserve"> into Disability Adjusted Life Years (DALY) lost and economical effects. DALY is a measurement using both the mortality in years lost between death and mean age and morbidity as in years lived with reduced function due to the disease. In 2017 trauma accounted for 13% of total DALY lost. [3] The economic effects in turn regards both the out of pocket expenses for treatments as well as reduced productivity due to reduced ability after the injury. </w:t>
      </w:r>
      <w:commentRangeStart w:id="5"/>
      <w:r>
        <w:rPr>
          <w:lang w:val="en-US"/>
        </w:rPr>
        <w:t>A study in northern India from 2019 calculated that 22% of patients who presented with traumatic injuries afterward had 30% or more of their total expenditure on healthcare related costs and 12 % were pushed below the international poverty line as a consequence. [4]</w:t>
      </w:r>
      <w:ins w:id="13" w:author="Martin Gerdin Wärnberg" w:date="2020-10-06T21:48:32Z">
        <w:commentRangeEnd w:id="5"/>
        <w:r>
          <w:commentReference w:id="5"/>
        </w:r>
        <w:r>
          <w:rPr>
            <w:lang w:val="en-US"/>
          </w:rPr>
        </w:r>
      </w:ins>
    </w:p>
    <w:p>
      <w:pPr>
        <w:pStyle w:val="Normal"/>
        <w:spacing w:lineRule="auto" w:line="360"/>
        <w:rPr>
          <w:lang w:val="en-US"/>
        </w:rPr>
      </w:pPr>
      <w:r>
        <w:rPr>
          <w:lang w:val="en-US"/>
        </w:rPr>
        <w:t>Regarding the effect of traumatic injuries on mortality in 2017 trauma accounted for 8% of total global deaths. [3] According to calculations done by Mock et al. [5] 90% of all deaths due to trauma were in low and middle income countries which also had a fatality rate 60-80% higher than that of high income countries and an improvement in trauma care globally to the level of that in high income countries could save about 1.7 lives annually, or about one third of the global deaths due to trauma.</w:t>
      </w:r>
    </w:p>
    <w:p>
      <w:pPr>
        <w:pStyle w:val="Normal"/>
        <w:spacing w:lineRule="auto" w:line="360"/>
        <w:rPr/>
      </w:pPr>
      <w:r>
        <w:rPr>
          <w:lang w:val="en-US"/>
        </w:rPr>
        <w:t>It is known that most fatalities in response to traumatic injuries occur shortly after the injury and in order to reduce the mortality in patients with severe trauma it requires early intervention, often surgical, as by “the golden hour” concept. This</w:t>
      </w:r>
      <w:ins w:id="14" w:author="Martin Gerdin Wärnberg" w:date="2020-10-06T21:49:27Z">
        <w:r>
          <w:rPr>
            <w:lang w:val="en-US"/>
          </w:rPr>
          <w:commentReference w:id="6"/>
        </w:r>
      </w:ins>
      <w:r>
        <w:rPr>
          <w:lang w:val="en-US"/>
        </w:rPr>
        <w:t xml:space="preserve"> is often due to patients suffering from internal and external bleeding where surgery is an important part of the hemorrhage control. [6] It is evident that in parts of the world with fewer hospitals, reduced access to healthcare and a less developed ambulance networks the time paramete</w:t>
      </w:r>
      <w:bookmarkStart w:id="4" w:name="__DdeLink__391_3056705999"/>
      <w:commentRangeStart w:id="7"/>
      <w:r>
        <w:rPr>
          <w:lang w:val="en-US"/>
        </w:rPr>
        <w:t xml:space="preserve">r is one of the contributing factors to the difference in increased mortality as mentioned. </w:t>
      </w:r>
      <w:ins w:id="15" w:author="Martin Gerdin Wärnberg" w:date="2020-10-06T21:50:56Z">
        <w:bookmarkEnd w:id="4"/>
        <w:commentRangeEnd w:id="7"/>
        <w:r>
          <w:commentReference w:id="7"/>
        </w:r>
        <w:r>
          <w:rPr>
            <w:lang w:val="en-US"/>
          </w:rPr>
        </w:r>
      </w:ins>
    </w:p>
    <w:p>
      <w:pPr>
        <w:pStyle w:val="Normal"/>
        <w:spacing w:lineRule="auto" w:line="360"/>
        <w:rPr>
          <w:lang w:val="en-US"/>
        </w:rPr>
      </w:pPr>
      <w:commentRangeStart w:id="8"/>
      <w:r>
        <w:rPr>
          <w:lang w:val="en-US"/>
        </w:rPr>
        <w:t>For</w:t>
      </w:r>
      <w:ins w:id="16" w:author="Martin Gerdin Wärnberg" w:date="2020-10-06T21:53:38Z">
        <w:r>
          <w:rPr>
            <w:lang w:val="en-US"/>
          </w:rPr>
        </w:r>
      </w:ins>
      <w:commentRangeEnd w:id="8"/>
      <w:r>
        <w:commentReference w:id="8"/>
      </w:r>
      <w:r>
        <w:rPr>
          <w:lang w:val="en-US"/>
        </w:rPr>
        <w:t xml:space="preserve"> patients with severe infections the Sequential Organ Failure Assessment (SOFA) score was developed in 1994 to grade the level of organ dysfunction in critically ill patients. The SOFA score is based on the reduced function scored 0-4 for each of the respiratory, cardiovascular, neurological, hepatic, coagulation and renal systems. Initially the focus was mainly patients suffering from severe infections and sepsis, but it was early recognized to be applicable in a wide range of critical illnesses. [7] </w:t>
      </w:r>
    </w:p>
    <w:p>
      <w:pPr>
        <w:pStyle w:val="Normal"/>
        <w:spacing w:lineRule="auto" w:line="360"/>
        <w:rPr>
          <w:lang w:val="en-US"/>
        </w:rPr>
      </w:pPr>
      <w:r>
        <w:rPr>
          <w:lang w:val="en-US"/>
        </w:rPr>
        <w:t xml:space="preserve">Alongside the last revision of the sepsis definition in 2016 the quick Sequential Organ Failure Assessment score (qSOFA score) was developed. The qSOFA score includes three parameters: Systolic blood pressure (SBP) below 100 mmHg, a respiratory rate (RR) above 22 min and an altered consciousness, measured with a Glasgow Coma Scale (GCS) score below 15. One point is awarded for each parameter yielding a total score of 0-3. </w:t>
      </w:r>
      <w:commentRangeStart w:id="9"/>
      <w:r>
        <w:rPr>
          <w:lang w:val="en-US"/>
        </w:rPr>
        <w:t>Introduced as a screening tool, to be performed bedside to identify patients with high-risk of organ dysfunction due to infections.</w:t>
      </w:r>
      <w:ins w:id="17" w:author="Martin Gerdin Wärnberg" w:date="2020-10-06T21:55:10Z">
        <w:r>
          <w:rPr>
            <w:lang w:val="en-US"/>
          </w:rPr>
        </w:r>
      </w:ins>
      <w:commentRangeEnd w:id="9"/>
      <w:r>
        <w:commentReference w:id="9"/>
      </w:r>
      <w:r>
        <w:rPr>
          <w:lang w:val="en-US"/>
        </w:rPr>
        <w:t xml:space="preserve"> [8] [9] It has lately also shown ability to predict mortality in patients with traumatic injuries when used both in prehospital care [10] as well as repeated evaluation during hospitalization [11].</w:t>
      </w:r>
    </w:p>
    <w:p>
      <w:pPr>
        <w:pStyle w:val="Normal"/>
        <w:spacing w:lineRule="auto" w:line="360"/>
        <w:rPr/>
      </w:pPr>
      <w:commentRangeStart w:id="10"/>
      <w:r>
        <w:rPr>
          <w:lang w:val="en-US"/>
        </w:rPr>
        <w:t xml:space="preserve">Another tool to assess the severity of a patient’s condition due to trauma is the Revised Trauma Score (RTS) and the Triage Revised Trauma Score (T-RTS) composed of the same parameters as qSOFA, that is GCS, SBP and RR but with a score of 0-4 for each parameter instead of a single criteria. </w:t>
      </w:r>
      <w:ins w:id="18" w:author="Martin Gerdin Wärnberg" w:date="2020-10-06T21:55:56Z">
        <w:r>
          <w:rPr>
            <w:lang w:val="en-US"/>
          </w:rPr>
        </w:r>
      </w:ins>
      <w:commentRangeEnd w:id="10"/>
      <w:r>
        <w:commentReference w:id="10"/>
      </w:r>
      <w:r>
        <w:rPr>
          <w:lang w:val="en-US"/>
        </w:rPr>
        <w:t>The scores can either be presented individually as used in RTS or added together to a total of 0-12 used in the T-RTS. The RTS thought of to be used in outcome evaluation and assessment of injury severity and the T-RTS for triage and finding patients a prehospital or initial setting in most need of specialized trauma care [12] However there are some articles raising concerns about the sensitivity of the T-RTS depending on the type of injury. [13][14]</w:t>
      </w:r>
    </w:p>
    <w:p>
      <w:pPr>
        <w:pStyle w:val="Normal"/>
        <w:spacing w:lineRule="auto" w:line="360"/>
        <w:rPr/>
      </w:pPr>
      <w:r>
        <w:rPr>
          <w:lang w:val="en-US"/>
        </w:rPr>
        <w:t xml:space="preserve">It should be noted that the majority of the research done on the topic of trauma and trauma care has been performed in high income countries. It is thus not clear if the results are also applicable in low resource settings, which stand to benefit the most of a scoring system to be able to prioritize the limited resources at hand. </w:t>
      </w:r>
      <w:commentRangeStart w:id="11"/>
      <w:r>
        <w:rPr>
          <w:lang w:val="en-US"/>
        </w:rPr>
        <w:t>Furthermore, most studies report the predictive power of different scoring systems on mortality and it has not yet been sufficiently studied whether an initial qSOFA score can be used to predict admissions to an intensive care unit.</w:t>
      </w:r>
      <w:ins w:id="19" w:author="Martin Gerdin Wärnberg" w:date="2020-10-06T21:56:52Z">
        <w:commentRangeEnd w:id="11"/>
        <w:r>
          <w:commentReference w:id="11"/>
        </w:r>
        <w:r>
          <w:rPr>
            <w:lang w:val="en-US"/>
          </w:rPr>
        </w:r>
      </w:ins>
    </w:p>
    <w:p>
      <w:pPr>
        <w:pStyle w:val="Heading2"/>
        <w:rPr>
          <w:lang w:val="en-US"/>
        </w:rPr>
      </w:pPr>
      <w:r>
        <w:rPr>
          <w:lang w:val="en-US"/>
        </w:rPr>
        <w:t>Aim</w:t>
      </w:r>
    </w:p>
    <w:p>
      <w:pPr>
        <w:pStyle w:val="Normal"/>
        <w:spacing w:lineRule="auto" w:line="360"/>
        <w:rPr/>
      </w:pPr>
      <w:r>
        <w:rPr>
          <w:lang w:val="en-US"/>
        </w:rPr>
        <w:t xml:space="preserve">The aim of this project is to assess the validity of qSOFA in predicting ICU admission in trauma patients admitted to hospitals in a low resource setting </w:t>
      </w:r>
      <w:commentRangeStart w:id="12"/>
      <w:r>
        <w:rPr>
          <w:lang w:val="en-US"/>
        </w:rPr>
        <w:t>using data from the TITCO cohort [15].</w:t>
      </w:r>
      <w:ins w:id="20" w:author="Martin Gerdin Wärnberg" w:date="2020-10-06T21:57:49Z">
        <w:commentRangeEnd w:id="12"/>
        <w:r>
          <w:commentReference w:id="12"/>
        </w:r>
        <w:r>
          <w:rPr>
            <w:lang w:val="en-US"/>
          </w:rPr>
        </w:r>
      </w:ins>
    </w:p>
    <w:p>
      <w:pPr>
        <w:pStyle w:val="Heading1"/>
        <w:rPr>
          <w:lang w:val="en-US"/>
        </w:rPr>
      </w:pPr>
      <w:r>
        <w:rPr>
          <w:lang w:val="en-US"/>
        </w:rPr>
        <w:t>Ethical consideration</w:t>
      </w:r>
    </w:p>
    <w:p>
      <w:pPr>
        <w:pStyle w:val="Normal"/>
        <w:spacing w:lineRule="auto" w:line="360"/>
        <w:rPr>
          <w:lang w:val="en-US"/>
        </w:rPr>
      </w:pPr>
      <w:r>
        <w:rPr>
          <w:lang w:val="en-US"/>
        </w:rPr>
        <w:t>This study was performed on the open and anonymized TITCO observational cohort dataset. Ethics committees at all participating centers approved the gathering of data and all participants were given a waiver of consent for participation. (Lokmanya Tilak Municipal General Hospital, IEC/11/13; King Edward Memorial Hospital, IEC(I)/OUT/222/14; Seth Sukhlal Karnani Memorial Hospital, IEC/279; All‐India Institute of Medical Sciences, IEC/NP‐279/2013 RP‐01/2013).</w:t>
      </w:r>
    </w:p>
    <w:p>
      <w:pPr>
        <w:pStyle w:val="Normal"/>
        <w:spacing w:lineRule="auto" w:line="360"/>
        <w:rPr>
          <w:lang w:val="en-US"/>
        </w:rPr>
      </w:pPr>
      <w:r>
        <w:rPr>
          <w:lang w:val="en-US"/>
        </w:rPr>
        <w:t xml:space="preserve">Since the data was collected before the conception of this study and that the TITCO cohort was purely observational and all patients received the best care available regardless of participation or not inclusion can be said to be a free choice for the participants. No participant can be said to have been harmed by the study because of its purely observational nature and the dataset is of the size needed to be able to draw conclusions. The participants were often of low socioeconomical status and the study of this arguably vulnerable population is justified in that the gain of knowledge in turn benefit the same population going forward.   </w:t>
      </w:r>
    </w:p>
    <w:p>
      <w:pPr>
        <w:pStyle w:val="Normal"/>
        <w:spacing w:lineRule="auto" w:line="360"/>
        <w:rPr>
          <w:lang w:val="en-US"/>
        </w:rPr>
      </w:pPr>
      <w:r>
        <w:rPr>
          <w:lang w:val="en-US"/>
        </w:rPr>
        <w:t>It can also be said that the resources needed to perform this study is small since no new data need to be gathered and thus the benefit of improved trauma care and health for trauma patients in low resource settings is sufficient to merit this project.</w:t>
      </w:r>
    </w:p>
    <w:p>
      <w:pPr>
        <w:pStyle w:val="Heading1"/>
        <w:rPr>
          <w:lang w:val="en-US"/>
        </w:rPr>
      </w:pPr>
      <w:r>
        <w:rPr>
          <w:lang w:val="en-US"/>
        </w:rPr>
        <w:t>Method</w:t>
      </w:r>
    </w:p>
    <w:p>
      <w:pPr>
        <w:pStyle w:val="Heading2"/>
        <w:rPr>
          <w:lang w:val="en-US"/>
        </w:rPr>
      </w:pPr>
      <w:r>
        <w:rPr>
          <w:lang w:val="en-US"/>
        </w:rPr>
        <w:t>Source of data</w:t>
      </w:r>
    </w:p>
    <w:p>
      <w:pPr>
        <w:pStyle w:val="Normal"/>
        <w:spacing w:lineRule="auto" w:line="360"/>
        <w:rPr>
          <w:lang w:val="en-US"/>
        </w:rPr>
      </w:pPr>
      <w:r>
        <w:rPr>
          <w:lang w:val="en-US"/>
        </w:rPr>
        <w:t>For this paper a retrospective analysis of the observational Towards Improved Trauma Care Outcomes in India (TITCO) cohort will be performed [12]. The data for TITCO was collected between July 2013 and December 2015 and includes patients admitted to four public university hospitals. The hospitals included were; Jai Prakash Narayan Apex Trauma Center (JPNATC), connected to the All India Institute of Medical Sciences in New Delhi, a large center solely dedicated to trauma care; King Edward Memorial hospital (KEM) in Mumbai, a tertiary level hospital but without dedicated trauma wards; Lokmanya Tilak Municipal General Hospital (LTMGH) in Mumbai, a tertiary lever public university hospital with a smaller dedicated trauma ward; and Seth Sukhlal Karnani Memorial Hospital (SSKM) in Kolkata, connected to The Institute of Post-Graduate Medical Education and Research, a tertiary level public university hospital without a ward dedicated solely to trauma.</w:t>
      </w:r>
    </w:p>
    <w:p>
      <w:pPr>
        <w:pStyle w:val="Heading2"/>
        <w:rPr>
          <w:lang w:val="en-US"/>
        </w:rPr>
      </w:pPr>
      <w:r>
        <w:rPr>
          <w:lang w:val="en-US"/>
        </w:rPr>
        <w:t>Participants</w:t>
      </w:r>
    </w:p>
    <w:p>
      <w:pPr>
        <w:pStyle w:val="Normal"/>
        <w:spacing w:lineRule="auto" w:line="360"/>
        <w:rPr>
          <w:lang w:val="en-US"/>
        </w:rPr>
      </w:pPr>
      <w:r>
        <w:rPr>
          <w:lang w:val="en-US"/>
        </w:rPr>
        <w:t>The TITCO cohort include patients with a history of trauma who either got admitted to one of the participating hospitals or who died between arrival and admission. Patients with isolated injuries to limbs and that therefore were treated by orthopedics and not within the general trauma care were excluded from the database as well as patients who were dead on arrival.</w:t>
      </w:r>
    </w:p>
    <w:p>
      <w:pPr>
        <w:pStyle w:val="Heading2"/>
        <w:rPr>
          <w:lang w:val="en-US"/>
        </w:rPr>
      </w:pPr>
      <w:r>
        <w:rPr>
          <w:lang w:val="en-US"/>
        </w:rPr>
        <w:t>Outcome</w:t>
      </w:r>
    </w:p>
    <w:p>
      <w:pPr>
        <w:pStyle w:val="Normal"/>
        <w:spacing w:lineRule="auto" w:line="360"/>
        <w:rPr>
          <w:lang w:val="en-US"/>
        </w:rPr>
      </w:pPr>
      <w:r>
        <w:rPr>
          <w:lang w:val="en-US"/>
        </w:rPr>
        <w:t>The primary outcome of interest was admission to the ICU during hospitalization.</w:t>
      </w:r>
    </w:p>
    <w:p>
      <w:pPr>
        <w:pStyle w:val="Heading2"/>
        <w:rPr>
          <w:lang w:val="en-US"/>
        </w:rPr>
      </w:pPr>
      <w:r>
        <w:rPr>
          <w:lang w:val="en-US"/>
        </w:rPr>
        <w:t>Predictors</w:t>
      </w:r>
    </w:p>
    <w:p>
      <w:pPr>
        <w:pStyle w:val="Normal"/>
        <w:spacing w:lineRule="auto" w:line="360"/>
        <w:rPr>
          <w:lang w:val="en-US"/>
        </w:rPr>
      </w:pPr>
      <w:r>
        <w:rPr>
          <w:lang w:val="en-US"/>
        </w:rPr>
        <w:t>For each patient included in the study the qSOFA score was calculated using data recorded on arrival to the hospital. The calculation of the qSOFA score includes a respiratory rate above 22, GCS below 15 and a systolic blood pressure below 100 where one point is awarded for meeting each of the specified criteria and thus yields a score of 0 to 3.</w:t>
      </w:r>
    </w:p>
    <w:p>
      <w:pPr>
        <w:pStyle w:val="Heading2"/>
        <w:rPr>
          <w:lang w:val="en-US"/>
        </w:rPr>
      </w:pPr>
      <w:r>
        <w:rPr>
          <w:lang w:val="en-US"/>
        </w:rPr>
        <w:t>Sample size</w:t>
      </w:r>
    </w:p>
    <w:p>
      <w:pPr>
        <w:pStyle w:val="Normal"/>
        <w:spacing w:lineRule="auto" w:line="360"/>
        <w:rPr>
          <w:lang w:val="en-US"/>
        </w:rPr>
      </w:pPr>
      <w:r>
        <w:rPr>
          <w:lang w:val="en-US"/>
        </w:rPr>
        <w:t>We included all eligible patients in the TITCO cohort over the age of 18.</w:t>
      </w:r>
    </w:p>
    <w:p>
      <w:pPr>
        <w:pStyle w:val="Heading2"/>
        <w:rPr>
          <w:lang w:val="en-US"/>
        </w:rPr>
      </w:pPr>
      <w:r>
        <w:rPr>
          <w:lang w:val="en-US"/>
        </w:rPr>
        <w:t>Missing data</w:t>
      </w:r>
    </w:p>
    <w:p>
      <w:pPr>
        <w:pStyle w:val="Normal"/>
        <w:spacing w:lineRule="auto" w:line="360"/>
        <w:rPr>
          <w:lang w:val="en-US"/>
        </w:rPr>
      </w:pPr>
      <w:r>
        <w:rPr>
          <w:lang w:val="en-US"/>
        </w:rPr>
        <w:t xml:space="preserve">We will use complete-case analysis </w:t>
      </w:r>
    </w:p>
    <w:p>
      <w:pPr>
        <w:pStyle w:val="Heading2"/>
        <w:rPr>
          <w:lang w:val="en-US"/>
        </w:rPr>
      </w:pPr>
      <w:r>
        <w:rPr>
          <w:lang w:val="en-US"/>
        </w:rPr>
        <w:t>Statistical analysis methods</w:t>
      </w:r>
    </w:p>
    <w:p>
      <w:pPr>
        <w:pStyle w:val="Normal"/>
        <w:spacing w:lineRule="auto" w:line="360"/>
        <w:rPr>
          <w:rFonts w:ascii="Times New Roman" w:hAnsi="Times New Roman" w:cs="Times New Roman" w:asciiTheme="minorHAnsi" w:cstheme="minorHAnsi" w:hAnsiTheme="minorHAnsi"/>
          <w:lang w:val="en-US"/>
        </w:rPr>
      </w:pPr>
      <w:r>
        <w:rPr>
          <w:lang w:val="en-US"/>
        </w:rPr>
        <w:t xml:space="preserve">We used R for all statistical analysis. We describe the sample characteristics using counts and percentages for qualitative variables and medians and interquartile ranges (IQR) for quantitative variables. The study sample was randomly split into training, validation, and test samples with 60%, 20%, and 20% of the observations in each sample respectively. We used the training sample to update qSOFA by re-estimating the coefficients of the original predictors using logistic regression. We used the validation sample to identify optimal cutoffs - </w:t>
      </w:r>
      <w:r>
        <w:rPr>
          <w:rFonts w:cs="Times New Roman" w:cstheme="minorHAnsi"/>
          <w:lang w:val="en-US"/>
        </w:rPr>
        <w:t>those who maximized the Youden index - for the original and updated qSOFA. We used the test sample to assess and compare the performance of the two models. Bootstrapping was used to estimate 95% confidence intervals associated with point estimates.</w:t>
      </w:r>
    </w:p>
    <w:p>
      <w:pPr>
        <w:pStyle w:val="Normal"/>
        <w:rPr>
          <w:rFonts w:ascii="Times New Roman" w:hAnsi="Times New Roman" w:cs="Times New Roman" w:asciiTheme="minorHAnsi" w:cstheme="minorHAnsi" w:hAnsiTheme="minorHAnsi"/>
          <w:lang w:val="en-US"/>
        </w:rPr>
      </w:pPr>
      <w:r>
        <w:rPr>
          <w:rFonts w:cs="Times New Roman" w:cstheme="minorHAnsi"/>
          <w:lang w:val="en-US"/>
        </w:rPr>
      </w:r>
    </w:p>
    <w:p>
      <w:pPr>
        <w:pStyle w:val="Heading2"/>
        <w:rPr>
          <w:rFonts w:ascii="Times New Roman" w:hAnsi="Times New Roman" w:cs="Times New Roman" w:asciiTheme="minorHAnsi" w:cstheme="minorHAnsi" w:hAnsiTheme="minorHAnsi"/>
        </w:rPr>
      </w:pPr>
      <w:r>
        <w:rPr>
          <w:rFonts w:cs="Times New Roman" w:cstheme="minorHAnsi"/>
          <w:lang w:val="en-US"/>
        </w:rPr>
        <w:t>References</w:t>
      </w:r>
    </w:p>
    <w:p>
      <w:pPr>
        <w:pStyle w:val="ListParagraph"/>
        <w:numPr>
          <w:ilvl w:val="0"/>
          <w:numId w:val="1"/>
        </w:numPr>
        <w:rPr>
          <w:rFonts w:ascii="Times New Roman" w:hAnsi="Times New Roman" w:cs="Times New Roman" w:asciiTheme="minorHAnsi" w:cstheme="minorHAnsi" w:hAnsiTheme="minorHAnsi"/>
          <w:lang w:val="en-US"/>
        </w:rPr>
      </w:pPr>
      <w:r>
        <w:rPr>
          <w:rFonts w:cs="Times New Roman" w:cstheme="minorHAnsi"/>
          <w:lang w:val="en-US"/>
        </w:rPr>
        <w:t>National Library of Medicine. Medical Search Headings (MeSH). https://meshb-nlm-nih-gov.proxy.kib.ki.se/record/ui?ui=D014947 [accessed 4 October 2020].</w:t>
      </w:r>
    </w:p>
    <w:p>
      <w:pPr>
        <w:pStyle w:val="ListParagraph"/>
        <w:numPr>
          <w:ilvl w:val="0"/>
          <w:numId w:val="1"/>
        </w:numPr>
        <w:rPr/>
      </w:pPr>
      <w:r>
        <w:rPr>
          <w:rFonts w:cs="Times New Roman" w:cstheme="minorHAnsi"/>
          <w:color w:val="212121"/>
          <w:shd w:fill="FFFFFF" w:val="clear"/>
          <w:lang w:val="en-US"/>
        </w:rPr>
        <w:t>James, S. L., Castle, C. D., Dingels, Z. V., Fox, J. T., Hamilton, E. B., Liu, Z., S Roberts, N. L., Sylte, D. O., Henry, N. J., LeGrand, K. E., Abdelalim, A., Abdoli, A., Abdollahpour, I., Abdulkader, R. S., Abedi, A., Abosetugn, A. E., Abushouk, A. I., Adebayo, O. M., Agudelo-Botero, M., Ahmad, T., … Vos, T. (2020). Global injury morbidity and mortality from 1990 to 2017: results from the Global Burden of Disease Study 2017. </w:t>
      </w:r>
      <w:r>
        <w:rPr>
          <w:rFonts w:cs="Times New Roman" w:cstheme="minorHAnsi"/>
          <w:i/>
          <w:iCs/>
          <w:color w:val="212121"/>
          <w:shd w:fill="FFFFFF" w:val="clear"/>
          <w:lang w:val="en-US"/>
        </w:rPr>
        <w:t>Injury prevention : journal of the International Society for Child and Adolescent Injury Prevention</w:t>
      </w:r>
      <w:r>
        <w:rPr>
          <w:rFonts w:cs="Times New Roman" w:cstheme="minorHAnsi"/>
          <w:color w:val="212121"/>
          <w:shd w:fill="FFFFFF" w:val="clear"/>
          <w:lang w:val="en-US"/>
        </w:rPr>
        <w:t>, </w:t>
      </w:r>
      <w:r>
        <w:rPr>
          <w:rFonts w:cs="Times New Roman" w:cstheme="minorHAnsi"/>
          <w:i/>
          <w:iCs/>
          <w:color w:val="212121"/>
          <w:shd w:fill="FFFFFF" w:val="clear"/>
          <w:lang w:val="en-US"/>
        </w:rPr>
        <w:t>26</w:t>
      </w:r>
      <w:r>
        <w:rPr>
          <w:rFonts w:cs="Times New Roman" w:cstheme="minorHAnsi"/>
          <w:color w:val="212121"/>
          <w:shd w:fill="FFFFFF" w:val="clear"/>
          <w:lang w:val="en-US"/>
        </w:rPr>
        <w:t xml:space="preserve">(Supp 1), i96–i114. </w:t>
      </w:r>
      <w:hyperlink r:id="rId6">
        <w:r>
          <w:rPr>
            <w:rStyle w:val="InternetLink"/>
            <w:rFonts w:cs="Times New Roman" w:cstheme="minorHAnsi"/>
            <w:highlight w:val="white"/>
            <w:lang w:val="en-US"/>
          </w:rPr>
          <w:t>https://doi-org.proxy.kib.ki.se/10.1136/injuryprev-2019-043494</w:t>
        </w:r>
      </w:hyperlink>
    </w:p>
    <w:p>
      <w:pPr>
        <w:pStyle w:val="ListParagraph"/>
        <w:numPr>
          <w:ilvl w:val="0"/>
          <w:numId w:val="1"/>
        </w:numPr>
        <w:rPr/>
      </w:pPr>
      <w:r>
        <w:rPr>
          <w:rFonts w:cs="Times New Roman" w:cstheme="minorHAnsi"/>
          <w:color w:val="212121"/>
          <w:shd w:fill="FFFFFF" w:val="clear"/>
          <w:lang w:val="en-US"/>
        </w:rPr>
        <w:t>GBD 2017 DALYs and HALE Collaborators (2018). Global, regional, and national disability-adjusted life-years (DALYs) for 359 diseases and injuries and healthy life expectancy (HALE) for 195 countries and territories, 1990-2017: a systematic analysis for the Global Burden of Disease Study 2017. </w:t>
      </w:r>
      <w:r>
        <w:rPr>
          <w:rFonts w:cs="Times New Roman" w:cstheme="minorHAnsi"/>
          <w:i/>
          <w:iCs/>
          <w:color w:val="212121"/>
          <w:shd w:fill="FFFFFF" w:val="clear"/>
          <w:lang w:val="en-US"/>
        </w:rPr>
        <w:t>Lancet (London, England)</w:t>
      </w:r>
      <w:r>
        <w:rPr>
          <w:rFonts w:cs="Times New Roman" w:cstheme="minorHAnsi"/>
          <w:color w:val="212121"/>
          <w:shd w:fill="FFFFFF" w:val="clear"/>
          <w:lang w:val="en-US"/>
        </w:rPr>
        <w:t>, </w:t>
      </w:r>
      <w:r>
        <w:rPr>
          <w:rFonts w:cs="Times New Roman" w:cstheme="minorHAnsi"/>
          <w:i/>
          <w:iCs/>
          <w:color w:val="212121"/>
          <w:shd w:fill="FFFFFF" w:val="clear"/>
          <w:lang w:val="en-US"/>
        </w:rPr>
        <w:t>392</w:t>
      </w:r>
      <w:r>
        <w:rPr>
          <w:rFonts w:cs="Times New Roman" w:cstheme="minorHAnsi"/>
          <w:color w:val="212121"/>
          <w:shd w:fill="FFFFFF" w:val="clear"/>
          <w:lang w:val="en-US"/>
        </w:rPr>
        <w:t xml:space="preserve">(10159), 1859–1922. </w:t>
      </w:r>
      <w:hyperlink r:id="rId7">
        <w:r>
          <w:rPr>
            <w:rStyle w:val="InternetLink"/>
            <w:rFonts w:cs="Times New Roman" w:cstheme="minorHAnsi"/>
            <w:highlight w:val="white"/>
            <w:lang w:val="en-US"/>
          </w:rPr>
          <w:t>https://doi-org.proxy.kib.ki.se/10.1016/S0140-6736(18)32335-3</w:t>
        </w:r>
      </w:hyperlink>
    </w:p>
    <w:p>
      <w:pPr>
        <w:pStyle w:val="ListParagraph"/>
        <w:numPr>
          <w:ilvl w:val="0"/>
          <w:numId w:val="1"/>
        </w:numPr>
        <w:spacing w:lineRule="auto" w:line="360" w:before="0" w:after="160"/>
        <w:contextualSpacing/>
        <w:rPr/>
      </w:pPr>
      <w:r>
        <w:rPr>
          <w:rFonts w:cs="Times New Roman" w:cstheme="minorHAnsi"/>
          <w:color w:val="212121"/>
          <w:shd w:fill="FFFFFF" w:val="clear"/>
        </w:rPr>
        <w:t xml:space="preserve">Prinja, S., Jagnoor, J., Sharma, D., Aggarwal, S., Katoch, S., Lakshmi, P., &amp; Ivers, R. (2019). </w:t>
      </w:r>
      <w:r>
        <w:rPr>
          <w:rFonts w:cs="Times New Roman" w:cstheme="minorHAnsi"/>
          <w:color w:val="212121"/>
          <w:shd w:fill="FFFFFF" w:val="clear"/>
          <w:lang w:val="en-US"/>
        </w:rPr>
        <w:t>Out-of-pocket expenditure and catastrophic health expenditure for hospitalization due to injuries in public sector hospitals in North India. </w:t>
      </w:r>
      <w:r>
        <w:rPr>
          <w:rFonts w:cs="Times New Roman" w:cstheme="minorHAnsi"/>
          <w:i/>
          <w:iCs/>
          <w:color w:val="212121"/>
          <w:shd w:fill="FFFFFF" w:val="clear"/>
          <w:lang w:val="en-US"/>
        </w:rPr>
        <w:t>PloS one</w:t>
      </w:r>
      <w:r>
        <w:rPr>
          <w:rFonts w:cs="Times New Roman" w:cstheme="minorHAnsi"/>
          <w:color w:val="212121"/>
          <w:shd w:fill="FFFFFF" w:val="clear"/>
          <w:lang w:val="en-US"/>
        </w:rPr>
        <w:t>, </w:t>
      </w:r>
      <w:r>
        <w:rPr>
          <w:rFonts w:cs="Times New Roman" w:cstheme="minorHAnsi"/>
          <w:i/>
          <w:iCs/>
          <w:color w:val="212121"/>
          <w:shd w:fill="FFFFFF" w:val="clear"/>
          <w:lang w:val="en-US"/>
        </w:rPr>
        <w:t>14</w:t>
      </w:r>
      <w:r>
        <w:rPr>
          <w:rFonts w:cs="Times New Roman" w:cstheme="minorHAnsi"/>
          <w:color w:val="212121"/>
          <w:shd w:fill="FFFFFF" w:val="clear"/>
          <w:lang w:val="en-US"/>
        </w:rPr>
        <w:t xml:space="preserve">(11), e0224721. </w:t>
      </w:r>
      <w:hyperlink r:id="rId8">
        <w:r>
          <w:rPr>
            <w:rStyle w:val="InternetLink"/>
            <w:rFonts w:cs="Times New Roman" w:cstheme="minorHAnsi"/>
            <w:highlight w:val="white"/>
            <w:lang w:val="en-US"/>
          </w:rPr>
          <w:t>https://doi-org.proxy.kib.ki.se/10.1371/journal.pone.0224721</w:t>
        </w:r>
      </w:hyperlink>
      <w:bookmarkStart w:id="5" w:name="_Hlk52699499"/>
      <w:bookmarkEnd w:id="5"/>
    </w:p>
    <w:p>
      <w:pPr>
        <w:pStyle w:val="ListParagraph"/>
        <w:numPr>
          <w:ilvl w:val="0"/>
          <w:numId w:val="1"/>
        </w:numPr>
        <w:spacing w:lineRule="auto" w:line="360" w:before="0" w:after="160"/>
        <w:contextualSpacing/>
        <w:rPr/>
      </w:pPr>
      <w:r>
        <w:rPr>
          <w:rFonts w:cs="Times New Roman" w:cstheme="minorHAnsi"/>
          <w:color w:val="212121"/>
          <w:shd w:fill="FFFFFF" w:val="clear"/>
          <w:lang w:val="en-US"/>
        </w:rPr>
        <w:t>Mock, C., Joshipura, M., Arreola-Risa, C., &amp; Quansah, R. (2012). An estimate of the number of lives that could be saved through improvements in trauma care globally. </w:t>
      </w:r>
      <w:r>
        <w:rPr>
          <w:rFonts w:cs="Times New Roman" w:cstheme="minorHAnsi"/>
          <w:i/>
          <w:iCs/>
          <w:color w:val="212121"/>
          <w:shd w:fill="FFFFFF" w:val="clear"/>
          <w:lang w:val="en-US"/>
        </w:rPr>
        <w:t>World journal of surgery</w:t>
      </w:r>
      <w:r>
        <w:rPr>
          <w:rFonts w:cs="Times New Roman" w:cstheme="minorHAnsi"/>
          <w:color w:val="212121"/>
          <w:shd w:fill="FFFFFF" w:val="clear"/>
          <w:lang w:val="en-US"/>
        </w:rPr>
        <w:t>, </w:t>
      </w:r>
      <w:r>
        <w:rPr>
          <w:rFonts w:cs="Times New Roman" w:cstheme="minorHAnsi"/>
          <w:i/>
          <w:iCs/>
          <w:color w:val="212121"/>
          <w:shd w:fill="FFFFFF" w:val="clear"/>
          <w:lang w:val="en-US"/>
        </w:rPr>
        <w:t>36</w:t>
      </w:r>
      <w:r>
        <w:rPr>
          <w:rFonts w:cs="Times New Roman" w:cstheme="minorHAnsi"/>
          <w:color w:val="212121"/>
          <w:shd w:fill="FFFFFF" w:val="clear"/>
          <w:lang w:val="en-US"/>
        </w:rPr>
        <w:t xml:space="preserve">(5), 959–963. </w:t>
      </w:r>
      <w:hyperlink r:id="rId9">
        <w:r>
          <w:rPr>
            <w:rStyle w:val="InternetLink"/>
            <w:rFonts w:cs="Times New Roman" w:cstheme="minorHAnsi"/>
            <w:highlight w:val="white"/>
            <w:lang w:val="en-US"/>
          </w:rPr>
          <w:t>https://doi-org.proxy.kib.ki.se/10.1007/s00268-012-1459-6</w:t>
        </w:r>
      </w:hyperlink>
    </w:p>
    <w:p>
      <w:pPr>
        <w:pStyle w:val="ListParagraph"/>
        <w:numPr>
          <w:ilvl w:val="0"/>
          <w:numId w:val="1"/>
        </w:numPr>
        <w:spacing w:lineRule="auto" w:line="360" w:before="0" w:after="160"/>
        <w:contextualSpacing/>
        <w:rPr/>
      </w:pPr>
      <w:r>
        <w:rPr>
          <w:color w:val="212121"/>
          <w:shd w:fill="FFFFFF" w:val="clear"/>
          <w:lang w:val="en-US"/>
        </w:rPr>
        <w:t>King D. R. (2019). Initial Care of the Severely Injured Patient. </w:t>
      </w:r>
      <w:r>
        <w:rPr>
          <w:i/>
          <w:iCs/>
          <w:color w:val="212121"/>
          <w:shd w:fill="FFFFFF" w:val="clear"/>
          <w:lang w:val="en-US"/>
        </w:rPr>
        <w:t>The New England journal of medicine</w:t>
      </w:r>
      <w:r>
        <w:rPr>
          <w:color w:val="212121"/>
          <w:shd w:fill="FFFFFF" w:val="clear"/>
          <w:lang w:val="en-US"/>
        </w:rPr>
        <w:t>, </w:t>
      </w:r>
      <w:r>
        <w:rPr>
          <w:i/>
          <w:iCs/>
          <w:color w:val="212121"/>
          <w:shd w:fill="FFFFFF" w:val="clear"/>
          <w:lang w:val="en-US"/>
        </w:rPr>
        <w:t>380</w:t>
      </w:r>
      <w:r>
        <w:rPr>
          <w:color w:val="212121"/>
          <w:shd w:fill="FFFFFF" w:val="clear"/>
          <w:lang w:val="en-US"/>
        </w:rPr>
        <w:t xml:space="preserve">(8), 763–770. </w:t>
      </w:r>
      <w:hyperlink r:id="rId10">
        <w:r>
          <w:rPr>
            <w:rStyle w:val="InternetLink"/>
            <w:highlight w:val="white"/>
            <w:lang w:val="en-US"/>
          </w:rPr>
          <w:t>https://doi-org.proxy.kib.ki.se/10.1056/NEJMra1609326</w:t>
        </w:r>
      </w:hyperlink>
    </w:p>
    <w:p>
      <w:pPr>
        <w:pStyle w:val="ListParagraph"/>
        <w:numPr>
          <w:ilvl w:val="0"/>
          <w:numId w:val="1"/>
        </w:numPr>
        <w:spacing w:lineRule="auto" w:line="360" w:before="0" w:after="160"/>
        <w:contextualSpacing/>
        <w:rPr/>
      </w:pPr>
      <w:r>
        <w:rPr>
          <w:color w:val="212121"/>
          <w:shd w:fill="FFFFFF" w:val="clear"/>
          <w:lang w:val="en-US"/>
        </w:rPr>
        <w:t>Lambden, S., Laterre, P. F., Levy, M. M., &amp; Francois, B. (2019). The SOFA score-development, utility and challenges of accurate assessment in clinical trials. </w:t>
      </w:r>
      <w:r>
        <w:rPr>
          <w:i/>
          <w:iCs/>
          <w:color w:val="212121"/>
          <w:shd w:fill="FFFFFF" w:val="clear"/>
          <w:lang w:val="en-US"/>
        </w:rPr>
        <w:t>Critical care (London, England)</w:t>
      </w:r>
      <w:r>
        <w:rPr>
          <w:color w:val="212121"/>
          <w:shd w:fill="FFFFFF" w:val="clear"/>
          <w:lang w:val="en-US"/>
        </w:rPr>
        <w:t>, </w:t>
      </w:r>
      <w:r>
        <w:rPr>
          <w:i/>
          <w:iCs/>
          <w:color w:val="212121"/>
          <w:shd w:fill="FFFFFF" w:val="clear"/>
          <w:lang w:val="en-US"/>
        </w:rPr>
        <w:t>23</w:t>
      </w:r>
      <w:r>
        <w:rPr>
          <w:color w:val="212121"/>
          <w:shd w:fill="FFFFFF" w:val="clear"/>
          <w:lang w:val="en-US"/>
        </w:rPr>
        <w:t xml:space="preserve">(1), 374. </w:t>
      </w:r>
      <w:hyperlink r:id="rId11">
        <w:r>
          <w:rPr>
            <w:rStyle w:val="InternetLink"/>
            <w:highlight w:val="white"/>
            <w:lang w:val="en-US"/>
          </w:rPr>
          <w:t>https://doi-org.proxy.kib.ki.se/10.1186/s13054-019-2663-7</w:t>
        </w:r>
      </w:hyperlink>
    </w:p>
    <w:p>
      <w:pPr>
        <w:pStyle w:val="ListParagraph"/>
        <w:numPr>
          <w:ilvl w:val="0"/>
          <w:numId w:val="1"/>
        </w:numPr>
        <w:spacing w:lineRule="auto" w:line="360" w:before="0" w:after="160"/>
        <w:contextualSpacing/>
        <w:rPr/>
      </w:pPr>
      <w:r>
        <w:rPr>
          <w:color w:val="3A3A3A"/>
          <w:shd w:fill="FFFFFF" w:val="clear"/>
          <w:lang w:val="en-US"/>
        </w:rPr>
        <w:t>David, S., &amp; Brunkhorst, F. (2017). [Sepsis-3 : What has been confirmed in therapy?]. </w:t>
      </w:r>
      <w:r>
        <w:rPr>
          <w:i/>
          <w:iCs/>
          <w:color w:val="3A3A3A"/>
          <w:shd w:fill="FFFFFF" w:val="clear"/>
        </w:rPr>
        <w:t>Der Internist.</w:t>
      </w:r>
      <w:r>
        <w:rPr>
          <w:color w:val="3A3A3A"/>
          <w:shd w:fill="FFFFFF" w:val="clear"/>
        </w:rPr>
        <w:t>, </w:t>
      </w:r>
      <w:r>
        <w:rPr>
          <w:i/>
          <w:iCs/>
          <w:color w:val="3A3A3A"/>
          <w:shd w:fill="FFFFFF" w:val="clear"/>
        </w:rPr>
        <w:t>58</w:t>
      </w:r>
      <w:r>
        <w:rPr>
          <w:color w:val="3A3A3A"/>
          <w:shd w:fill="FFFFFF" w:val="clear"/>
        </w:rPr>
        <w:t xml:space="preserve">(12), 1264–1271. </w:t>
      </w:r>
      <w:hyperlink r:id="rId12">
        <w:r>
          <w:rPr>
            <w:rStyle w:val="InternetLink"/>
            <w:highlight w:val="white"/>
          </w:rPr>
          <w:t>https://doi.org/10.1007/s00108-017-0338-5</w:t>
        </w:r>
      </w:hyperlink>
    </w:p>
    <w:p>
      <w:pPr>
        <w:pStyle w:val="ListParagraph"/>
        <w:numPr>
          <w:ilvl w:val="0"/>
          <w:numId w:val="1"/>
        </w:numPr>
        <w:spacing w:lineRule="auto" w:line="360" w:before="0" w:after="160"/>
        <w:contextualSpacing/>
        <w:rPr/>
      </w:pPr>
      <w:r>
        <w:rPr>
          <w:color w:val="3A3A3A"/>
          <w:shd w:fill="FFFFFF" w:val="clear"/>
        </w:rPr>
        <w:t xml:space="preserve">Shankar-Hari, M., Phillips, G., Levy, M., Seymour, C., Liu, V., Deutschman, C., Angus, D., Rubenfeld, G., &amp; Singer, M. (n.d.). </w:t>
      </w:r>
      <w:r>
        <w:rPr>
          <w:color w:val="3A3A3A"/>
          <w:shd w:fill="FFFFFF" w:val="clear"/>
          <w:lang w:val="en-US"/>
        </w:rPr>
        <w:t>Developing a New Definition and Assessing New Clinical Criteria for Septic Shock: For the Third International Consensus Definitions for Sepsis and Septic Shock (Sepsis-3). </w:t>
      </w:r>
      <w:r>
        <w:rPr>
          <w:i/>
          <w:iCs/>
          <w:color w:val="3A3A3A"/>
          <w:shd w:fill="FFFFFF" w:val="clear"/>
          <w:lang w:val="en-US"/>
        </w:rPr>
        <w:t>JAMA : the Journal of the American Medical Association.</w:t>
      </w:r>
      <w:r>
        <w:rPr>
          <w:color w:val="3A3A3A"/>
          <w:shd w:fill="FFFFFF" w:val="clear"/>
          <w:lang w:val="en-US"/>
        </w:rPr>
        <w:t>, </w:t>
      </w:r>
      <w:r>
        <w:rPr>
          <w:i/>
          <w:iCs/>
          <w:color w:val="3A3A3A"/>
          <w:shd w:fill="FFFFFF" w:val="clear"/>
          <w:lang w:val="en-US"/>
        </w:rPr>
        <w:t>315</w:t>
      </w:r>
      <w:r>
        <w:rPr>
          <w:color w:val="3A3A3A"/>
          <w:shd w:fill="FFFFFF" w:val="clear"/>
          <w:lang w:val="en-US"/>
        </w:rPr>
        <w:t xml:space="preserve">(8), 775–787. </w:t>
      </w:r>
      <w:hyperlink r:id="rId13">
        <w:r>
          <w:rPr>
            <w:rStyle w:val="InternetLink"/>
            <w:highlight w:val="white"/>
            <w:lang w:val="en-US"/>
          </w:rPr>
          <w:t>https://doi.org/10.1001/jama.2016.0289</w:t>
        </w:r>
      </w:hyperlink>
    </w:p>
    <w:p>
      <w:pPr>
        <w:pStyle w:val="ListParagraph"/>
        <w:numPr>
          <w:ilvl w:val="0"/>
          <w:numId w:val="1"/>
        </w:numPr>
        <w:spacing w:lineRule="auto" w:line="360" w:before="0" w:after="160"/>
        <w:contextualSpacing/>
        <w:rPr/>
      </w:pPr>
      <w:r>
        <w:rPr>
          <w:rFonts w:cs="Times New Roman" w:cstheme="minorHAnsi"/>
        </w:rPr>
        <w:t xml:space="preserve">Miyamoto, K., Shibata, N., Ogawa, A., Nakashima, T., &amp; Kato, S. (2019). </w:t>
      </w:r>
      <w:r>
        <w:rPr>
          <w:rFonts w:cs="Times New Roman" w:cstheme="minorHAnsi"/>
          <w:lang w:val="en-US"/>
        </w:rPr>
        <w:t xml:space="preserve">Prehospital quick sequential organ failure assessment score to predict in-hospital mortality among patients with trauma. The American Journal of Emergency Medicine., 37(12), 2165–2170. </w:t>
      </w:r>
      <w:hyperlink r:id="rId14">
        <w:r>
          <w:rPr>
            <w:rStyle w:val="InternetLink"/>
            <w:rFonts w:cs="Times New Roman" w:cstheme="minorHAnsi"/>
            <w:lang w:val="en-US"/>
          </w:rPr>
          <w:t>https://doi.org/10.1016/j.ajem.2019.03.007</w:t>
        </w:r>
      </w:hyperlink>
    </w:p>
    <w:p>
      <w:pPr>
        <w:pStyle w:val="ListParagraph"/>
        <w:numPr>
          <w:ilvl w:val="0"/>
          <w:numId w:val="1"/>
        </w:numPr>
        <w:rPr/>
      </w:pPr>
      <w:r>
        <w:rPr>
          <w:rFonts w:cs="Times New Roman" w:cstheme="minorHAnsi"/>
          <w:color w:val="212121"/>
          <w:shd w:fill="FFFFFF" w:val="clear"/>
        </w:rPr>
        <w:t xml:space="preserve">Miyamoto, K., Shibata, N., Ogawa, A., Nakashima, T., &amp; Kato, S. (2020). </w:t>
      </w:r>
      <w:r>
        <w:rPr>
          <w:rFonts w:cs="Times New Roman" w:cstheme="minorHAnsi"/>
          <w:color w:val="212121"/>
          <w:shd w:fill="FFFFFF" w:val="clear"/>
          <w:lang w:val="en-US"/>
        </w:rPr>
        <w:t>Prehospital and in-hospital quick Sequential Organ Failure Assessment (qSOFA) scores to predict in-hospital mortality among trauma patients: an analysis of nationwide registry data. </w:t>
      </w:r>
      <w:r>
        <w:rPr>
          <w:rFonts w:cs="Times New Roman" w:cstheme="minorHAnsi"/>
          <w:i/>
          <w:iCs/>
          <w:color w:val="212121"/>
          <w:shd w:fill="FFFFFF" w:val="clear"/>
          <w:lang w:val="en-US"/>
        </w:rPr>
        <w:t>Acute medicine &amp; surgery</w:t>
      </w:r>
      <w:r>
        <w:rPr>
          <w:rFonts w:cs="Times New Roman" w:cstheme="minorHAnsi"/>
          <w:color w:val="212121"/>
          <w:shd w:fill="FFFFFF" w:val="clear"/>
          <w:lang w:val="en-US"/>
        </w:rPr>
        <w:t>, </w:t>
      </w:r>
      <w:r>
        <w:rPr>
          <w:rFonts w:cs="Times New Roman" w:cstheme="minorHAnsi"/>
          <w:i/>
          <w:iCs/>
          <w:color w:val="212121"/>
          <w:shd w:fill="FFFFFF" w:val="clear"/>
          <w:lang w:val="en-US"/>
        </w:rPr>
        <w:t>7</w:t>
      </w:r>
      <w:r>
        <w:rPr>
          <w:rFonts w:cs="Times New Roman" w:cstheme="minorHAnsi"/>
          <w:color w:val="212121"/>
          <w:shd w:fill="FFFFFF" w:val="clear"/>
          <w:lang w:val="en-US"/>
        </w:rPr>
        <w:t xml:space="preserve">(1), e532. </w:t>
      </w:r>
      <w:hyperlink r:id="rId15">
        <w:r>
          <w:rPr>
            <w:rStyle w:val="InternetLink"/>
            <w:rFonts w:cs="Times New Roman" w:cstheme="minorHAnsi"/>
            <w:highlight w:val="white"/>
            <w:lang w:val="en-US"/>
          </w:rPr>
          <w:t>https://doi-org.proxy.kib.ki.se/10.1002/ams2.532</w:t>
        </w:r>
      </w:hyperlink>
    </w:p>
    <w:p>
      <w:pPr>
        <w:pStyle w:val="ListParagraph"/>
        <w:numPr>
          <w:ilvl w:val="0"/>
          <w:numId w:val="1"/>
        </w:numPr>
        <w:spacing w:lineRule="auto" w:line="360" w:before="0" w:after="160"/>
        <w:contextualSpacing/>
        <w:rPr/>
      </w:pPr>
      <w:r>
        <w:rPr>
          <w:color w:val="212121"/>
          <w:shd w:fill="FFFFFF" w:val="clear"/>
          <w:lang w:val="en-US"/>
        </w:rPr>
        <w:t xml:space="preserve">Champion, H. R., Sacco, W. J., Copes, W. S., Gann, D. S., Gennarelli, T. A., &amp; </w:t>
      </w:r>
      <w:r>
        <w:rPr>
          <w:rFonts w:cs="Times New Roman" w:cstheme="minorHAnsi"/>
          <w:color w:val="212121"/>
          <w:shd w:fill="FFFFFF" w:val="clear"/>
          <w:lang w:val="en-US"/>
        </w:rPr>
        <w:t>Flanagan, M. E. (1989). A revision of the Trauma Score. </w:t>
      </w:r>
      <w:r>
        <w:rPr>
          <w:rFonts w:cs="Times New Roman" w:cstheme="minorHAnsi"/>
          <w:i/>
          <w:iCs/>
          <w:color w:val="212121"/>
          <w:shd w:fill="FFFFFF" w:val="clear"/>
          <w:lang w:val="en-US"/>
        </w:rPr>
        <w:t>The Journal of trauma</w:t>
      </w:r>
      <w:r>
        <w:rPr>
          <w:rFonts w:cs="Times New Roman" w:cstheme="minorHAnsi"/>
          <w:color w:val="212121"/>
          <w:shd w:fill="FFFFFF" w:val="clear"/>
          <w:lang w:val="en-US"/>
        </w:rPr>
        <w:t>, </w:t>
      </w:r>
      <w:r>
        <w:rPr>
          <w:rFonts w:cs="Times New Roman" w:cstheme="minorHAnsi"/>
          <w:i/>
          <w:iCs/>
          <w:color w:val="212121"/>
          <w:shd w:fill="FFFFFF" w:val="clear"/>
          <w:lang w:val="en-US"/>
        </w:rPr>
        <w:t>29</w:t>
      </w:r>
      <w:r>
        <w:rPr>
          <w:rFonts w:cs="Times New Roman" w:cstheme="minorHAnsi"/>
          <w:color w:val="212121"/>
          <w:shd w:fill="FFFFFF" w:val="clear"/>
          <w:lang w:val="en-US"/>
        </w:rPr>
        <w:t xml:space="preserve">(5), 623–629. </w:t>
      </w:r>
      <w:hyperlink r:id="rId16">
        <w:r>
          <w:rPr>
            <w:rStyle w:val="InternetLink"/>
            <w:rFonts w:cs="Times New Roman" w:cstheme="minorHAnsi"/>
            <w:highlight w:val="white"/>
            <w:lang w:val="en-US"/>
          </w:rPr>
          <w:t>https://doi-org.proxy.kib.ki.se/10.1097/00005373-198905000-00017</w:t>
        </w:r>
      </w:hyperlink>
      <w:bookmarkStart w:id="6" w:name="_Hlk52699926"/>
      <w:bookmarkEnd w:id="6"/>
    </w:p>
    <w:p>
      <w:pPr>
        <w:pStyle w:val="ListParagraph"/>
        <w:numPr>
          <w:ilvl w:val="0"/>
          <w:numId w:val="1"/>
        </w:numPr>
        <w:rPr/>
      </w:pPr>
      <w:r>
        <w:rPr>
          <w:rFonts w:cs="Times New Roman" w:cstheme="minorHAnsi"/>
          <w:color w:val="212121"/>
          <w:shd w:fill="FFFFFF" w:val="clear"/>
        </w:rPr>
        <w:t xml:space="preserve">Giannakopoulos, G. F., Saltzherr, T. P., Lubbers, W. D., Christiaans, H. M., van Exter, P., de Lange-de Klerk, E. S., Bloemers, F. W., Zuidema, W. P., Goslings, J. C., &amp; Bakker, F. C. (2011). </w:t>
      </w:r>
      <w:r>
        <w:rPr>
          <w:rFonts w:cs="Times New Roman" w:cstheme="minorHAnsi"/>
          <w:color w:val="212121"/>
          <w:shd w:fill="FFFFFF" w:val="clear"/>
          <w:lang w:val="en-US"/>
        </w:rPr>
        <w:t>Is a maximum Revised Trauma Score a safe triage tool for Helicopter Emergency Medical Services cancellations?. </w:t>
      </w:r>
      <w:r>
        <w:rPr>
          <w:rFonts w:cs="Times New Roman" w:cstheme="minorHAnsi"/>
          <w:i/>
          <w:iCs/>
          <w:color w:val="212121"/>
          <w:shd w:fill="FFFFFF" w:val="clear"/>
          <w:lang w:val="en-US"/>
        </w:rPr>
        <w:t>European journal of emergency medicine : official journal of the European Society for Emergency Medicine</w:t>
      </w:r>
      <w:r>
        <w:rPr>
          <w:rFonts w:cs="Times New Roman" w:cstheme="minorHAnsi"/>
          <w:color w:val="212121"/>
          <w:shd w:fill="FFFFFF" w:val="clear"/>
          <w:lang w:val="en-US"/>
        </w:rPr>
        <w:t>, </w:t>
      </w:r>
      <w:r>
        <w:rPr>
          <w:rFonts w:cs="Times New Roman" w:cstheme="minorHAnsi"/>
          <w:i/>
          <w:iCs/>
          <w:color w:val="212121"/>
          <w:shd w:fill="FFFFFF" w:val="clear"/>
          <w:lang w:val="en-US"/>
        </w:rPr>
        <w:t>18</w:t>
      </w:r>
      <w:r>
        <w:rPr>
          <w:rFonts w:cs="Times New Roman" w:cstheme="minorHAnsi"/>
          <w:color w:val="212121"/>
          <w:shd w:fill="FFFFFF" w:val="clear"/>
          <w:lang w:val="en-US"/>
        </w:rPr>
        <w:t xml:space="preserve">(4), 197–201. </w:t>
      </w:r>
      <w:hyperlink r:id="rId17">
        <w:r>
          <w:rPr>
            <w:rStyle w:val="InternetLink"/>
            <w:rFonts w:cs="Times New Roman" w:cstheme="minorHAnsi"/>
            <w:highlight w:val="white"/>
            <w:lang w:val="en-US"/>
          </w:rPr>
          <w:t>https://doi-org.proxy.kib.ki.se/10.1097/MEJ.0b013e328344912e</w:t>
        </w:r>
      </w:hyperlink>
    </w:p>
    <w:p>
      <w:pPr>
        <w:pStyle w:val="ListParagraph"/>
        <w:numPr>
          <w:ilvl w:val="0"/>
          <w:numId w:val="1"/>
        </w:numPr>
        <w:spacing w:lineRule="auto" w:line="360" w:before="0" w:after="160"/>
        <w:contextualSpacing/>
        <w:rPr/>
      </w:pPr>
      <w:r>
        <w:rPr>
          <w:color w:val="212121"/>
          <w:shd w:fill="FFFFFF" w:val="clear"/>
          <w:lang w:val="en-US"/>
        </w:rPr>
        <w:t>Alvarez, B. D., Razente, D. M., Lacerda, D. A., Lother, N. S., VON-Bahten, L. C., &amp; Stahlschmidt, C. M. (2016). Analysis of the Revised Trauma Score (RTS) in 200 victims of different trauma mechanisms. </w:t>
      </w:r>
      <w:r>
        <w:rPr>
          <w:i/>
          <w:iCs/>
          <w:color w:val="212121"/>
          <w:shd w:fill="FFFFFF" w:val="clear"/>
        </w:rPr>
        <w:t>Revista do Colegio Brasileiro de Cirurgioes</w:t>
      </w:r>
      <w:r>
        <w:rPr>
          <w:color w:val="212121"/>
          <w:shd w:fill="FFFFFF" w:val="clear"/>
        </w:rPr>
        <w:t>, </w:t>
      </w:r>
      <w:r>
        <w:rPr>
          <w:i/>
          <w:iCs/>
          <w:color w:val="212121"/>
          <w:shd w:fill="FFFFFF" w:val="clear"/>
        </w:rPr>
        <w:t>43</w:t>
      </w:r>
      <w:r>
        <w:rPr>
          <w:color w:val="212121"/>
          <w:shd w:fill="FFFFFF" w:val="clear"/>
        </w:rPr>
        <w:t xml:space="preserve">(5), 334–340. </w:t>
      </w:r>
      <w:hyperlink r:id="rId18">
        <w:r>
          <w:rPr>
            <w:rStyle w:val="InternetLink"/>
            <w:highlight w:val="white"/>
          </w:rPr>
          <w:t>https://doi-org.proxy.kib.ki.se/10.1590/0100-69912016005010</w:t>
        </w:r>
      </w:hyperlink>
    </w:p>
    <w:p>
      <w:pPr>
        <w:pStyle w:val="ListParagraph"/>
        <w:numPr>
          <w:ilvl w:val="0"/>
          <w:numId w:val="1"/>
        </w:numPr>
        <w:spacing w:lineRule="auto" w:line="360" w:before="0" w:after="160"/>
        <w:contextualSpacing/>
        <w:rPr/>
      </w:pPr>
      <w:r>
        <w:rPr>
          <w:lang w:val="en-US"/>
        </w:rPr>
        <w:t xml:space="preserve">TITCO collaborators (2017). TITCO dataset version 1. Available from </w:t>
      </w:r>
      <w:hyperlink r:id="rId19">
        <w:r>
          <w:rPr>
            <w:rStyle w:val="InternetLink"/>
            <w:lang w:val="en-US"/>
          </w:rPr>
          <w:t>https://github.com/titco/titco-I</w:t>
        </w:r>
      </w:hyperlink>
      <w:r>
        <w:rPr>
          <w:lang w:val="en-US"/>
        </w:rPr>
        <w:t xml:space="preserve">. </w:t>
      </w:r>
      <w:r>
        <w:rPr>
          <w:rFonts w:cs="Times New Roman" w:cstheme="minorHAnsi"/>
          <w:lang w:val="en-US"/>
        </w:rPr>
        <w:t>[accessed 4 October 2020]</w:t>
      </w:r>
    </w:p>
    <w:sectPr>
      <w:footerReference w:type="default" r:id="rId20"/>
      <w:type w:val="nextPage"/>
      <w:pgSz w:w="11906" w:h="16838"/>
      <w:pgMar w:left="1418" w:right="1418" w:header="0" w:top="1418" w:footer="709" w:bottom="1418" w:gutter="0"/>
      <w:pgNumType w:start="1"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Gerdin Wärnberg" w:date="2020-10-06T21:43:23Z" w:initials="MGW">
    <w:p>
      <w:r>
        <w:rPr>
          <w:rFonts w:eastAsia="Times New Roman"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Unless you’ve been told otherwise I would say that it’s more common to have the citations before the dot.</w:t>
      </w:r>
    </w:p>
  </w:comment>
  <w:comment w:id="1" w:author="Martin Gerdin Wärnberg" w:date="2020-10-06T21:44:43Z" w:initials="MGW">
    <w:p>
      <w:r>
        <w:rPr>
          <w:rFonts w:eastAsia="Times New Roman"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Trauma?</w:t>
      </w:r>
    </w:p>
  </w:comment>
  <w:comment w:id="2" w:author="Martin Gerdin Wärnberg" w:date="2020-10-06T21:45:08Z" w:initials="MGW">
    <w:p>
      <w:r>
        <w:rPr>
          <w:rFonts w:eastAsia="Times New Roman"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Probably not needed</w:t>
      </w:r>
    </w:p>
  </w:comment>
  <w:comment w:id="3" w:author="Martin Gerdin Wärnberg" w:date="2020-10-06T21:45:44Z" w:initials="MGW">
    <w:p>
      <w:r>
        <w:rPr>
          <w:rFonts w:eastAsia="Times New Roman"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This paragraph can be split in two, one on the morbidity aspects and one on the economic aspects. Regarding morbidity you can discuss geographical distribution and distribution across different mechanisms. </w:t>
      </w:r>
    </w:p>
  </w:comment>
  <w:comment w:id="4" w:author="Martin Gerdin Wärnberg" w:date="2020-10-06T21:45:21Z" w:initials="MGW">
    <w:p>
      <w:r>
        <w:rPr>
          <w:rFonts w:eastAsia="Times New Roman"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Divided?</w:t>
      </w:r>
    </w:p>
  </w:comment>
  <w:comment w:id="5" w:author="Martin Gerdin Wärnberg" w:date="2020-10-06T21:48:32Z" w:initials="MGW">
    <w:p>
      <w:r>
        <w:rPr>
          <w:rFonts w:eastAsia="Times New Roman"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You can definitely cite more studies here, from different regions.</w:t>
      </w:r>
    </w:p>
  </w:comment>
  <w:comment w:id="6" w:author="Martin Gerdin Wärnberg" w:date="2020-10-06T21:49:27Z" w:initials="MGW">
    <w:p>
      <w:r>
        <w:rPr>
          <w:rFonts w:eastAsia="Times New Roman"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Avoid starting sentences with “this”, as it’s often hard to know exactly what “this”refers to. Do you mean that “Trauma care is time sensitive...”?</w:t>
      </w:r>
    </w:p>
  </w:comment>
  <w:comment w:id="7" w:author="Martin Gerdin Wärnberg" w:date="2020-10-06T21:50:56Z" w:initials="MGW">
    <w:p>
      <w:r>
        <w:rPr>
          <w:rFonts w:eastAsia="Times New Roman"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Think about ways you can write sentences like this in shorter, more direct and succinct. For example “delays contribute to the higher mortality in low- and middle income countries”.</w:t>
      </w:r>
    </w:p>
  </w:comment>
  <w:comment w:id="8" w:author="Martin Gerdin Wärnberg" w:date="2020-10-06T21:53:38Z" w:initials="MGW">
    <w:p>
      <w:r>
        <w:rPr>
          <w:rFonts w:eastAsia="Times New Roman"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You need to work on the transition between the previous paragraph and this one. Do you mean that trauma patients may be critically ill and that there are different scores to assess exactly how ill?</w:t>
      </w:r>
    </w:p>
  </w:comment>
  <w:comment w:id="9" w:author="Martin Gerdin Wärnberg" w:date="2020-10-06T21:55:10Z" w:initials="MGW">
    <w:p>
      <w:r>
        <w:rPr>
          <w:rFonts w:eastAsia="Times New Roman"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Incomplete sentence. Do you mean that qSOFA was introduced as a screening tool?</w:t>
      </w:r>
    </w:p>
  </w:comment>
  <w:comment w:id="10" w:author="Martin Gerdin Wärnberg" w:date="2020-10-06T21:55:56Z" w:initials="MGW">
    <w:p>
      <w:r>
        <w:rPr>
          <w:rFonts w:eastAsia="Times New Roman"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is a long sentence, try splitting it in two.</w:t>
      </w:r>
    </w:p>
  </w:comment>
  <w:comment w:id="11" w:author="Martin Gerdin Wärnberg" w:date="2020-10-06T21:56:52Z" w:initials="MGW">
    <w:p>
      <w:r>
        <w:rPr>
          <w:rFonts w:eastAsia="Times New Roman"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You need to work on this last part. Why would it? And why do we want a score to be able to predict ICU admission? And why is qSOFA an attractive option?</w:t>
      </w:r>
    </w:p>
  </w:comment>
  <w:comment w:id="12" w:author="Martin Gerdin Wärnberg" w:date="2020-10-06T21:57:49Z" w:initials="MGW">
    <w:p>
      <w:r>
        <w:rPr>
          <w:rFonts w:eastAsia="Times New Roman"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don’t think this needs to be part of your aim, because it’s part of “Methods”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56253589"/>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sz w:val="20"/>
        <w:szCs w:val="20"/>
      </w:rPr>
    </w:pPr>
    <w:r>
      <w:rPr>
        <w:sz w:val="20"/>
        <w:szCs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eastAsia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47d7"/>
    <w:pPr>
      <w:widowControl/>
      <w:bidi w:val="0"/>
      <w:spacing w:lineRule="auto" w:line="276" w:before="0" w:after="200"/>
      <w:jc w:val="left"/>
    </w:pPr>
    <w:rPr>
      <w:rFonts w:ascii="Times New Roman" w:hAnsi="Times New Roman" w:eastAsia="Times New Roman" w:cs="Times New Roman" w:eastAsiaTheme="minorHAnsi"/>
      <w:color w:val="auto"/>
      <w:kern w:val="0"/>
      <w:sz w:val="24"/>
      <w:szCs w:val="24"/>
      <w:lang w:val="sv-SE" w:eastAsia="en-US" w:bidi="ar-SA"/>
    </w:rPr>
  </w:style>
  <w:style w:type="paragraph" w:styleId="Heading1">
    <w:name w:val="Heading 1"/>
    <w:basedOn w:val="Normal"/>
    <w:next w:val="Normal"/>
    <w:link w:val="Heading1Char"/>
    <w:uiPriority w:val="9"/>
    <w:qFormat/>
    <w:rsid w:val="00b333bb"/>
    <w:pPr>
      <w:keepNext w:val="true"/>
      <w:keepLines/>
      <w:spacing w:lineRule="auto" w:line="360" w:before="0" w:after="0"/>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b333bb"/>
    <w:pPr>
      <w:keepNext w:val="true"/>
      <w:keepLines/>
      <w:spacing w:lineRule="auto" w:line="360" w:before="0" w:after="0"/>
      <w:outlineLvl w:val="1"/>
    </w:pPr>
    <w:rPr>
      <w:rFonts w:eastAsia="" w:cs="" w:cstheme="majorBidi" w:eastAsiaTheme="majorEastAsia"/>
      <w:b/>
      <w:bCs/>
      <w:sz w:val="28"/>
      <w:szCs w:val="26"/>
    </w:rPr>
  </w:style>
  <w:style w:type="paragraph" w:styleId="Heading3">
    <w:name w:val="Heading 3"/>
    <w:basedOn w:val="Normal"/>
    <w:next w:val="Normal"/>
    <w:link w:val="Heading3Char"/>
    <w:uiPriority w:val="9"/>
    <w:unhideWhenUsed/>
    <w:qFormat/>
    <w:rsid w:val="00b333bb"/>
    <w:pPr>
      <w:spacing w:lineRule="auto" w:line="360" w:before="0" w:after="0"/>
      <w:outlineLvl w:val="2"/>
    </w:pPr>
    <w:rPr>
      <w:i/>
    </w:rPr>
  </w:style>
  <w:style w:type="paragraph" w:styleId="Heading4">
    <w:name w:val="Heading 4"/>
    <w:basedOn w:val="Normal"/>
    <w:next w:val="Normal"/>
    <w:link w:val="Heading4Char"/>
    <w:uiPriority w:val="9"/>
    <w:unhideWhenUsed/>
    <w:qFormat/>
    <w:rsid w:val="00b333bb"/>
    <w:pPr>
      <w:keepNext w:val="true"/>
      <w:keepLines/>
      <w:spacing w:lineRule="auto" w:line="360" w:before="0" w:after="0"/>
      <w:outlineLvl w:val="3"/>
    </w:pPr>
    <w:rPr>
      <w:rFonts w:eastAsia="" w:cs="" w:cstheme="majorBidi" w:eastAsiaTheme="majorEastAsia"/>
      <w:bCs/>
      <w:iCs/>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b333bb"/>
    <w:rPr>
      <w:i/>
    </w:rPr>
  </w:style>
  <w:style w:type="character" w:styleId="Heading4Char" w:customStyle="1">
    <w:name w:val="Heading 4 Char"/>
    <w:basedOn w:val="DefaultParagraphFont"/>
    <w:link w:val="Heading4"/>
    <w:uiPriority w:val="9"/>
    <w:qFormat/>
    <w:rsid w:val="00b333bb"/>
    <w:rPr>
      <w:rFonts w:eastAsia="" w:cs="" w:cstheme="majorBidi" w:eastAsiaTheme="majorEastAsia"/>
      <w:bCs/>
      <w:iCs/>
    </w:rPr>
  </w:style>
  <w:style w:type="character" w:styleId="HeaderChar" w:customStyle="1">
    <w:name w:val="Header Char"/>
    <w:basedOn w:val="DefaultParagraphFont"/>
    <w:link w:val="Header"/>
    <w:uiPriority w:val="99"/>
    <w:qFormat/>
    <w:rsid w:val="00ce6e4f"/>
    <w:rPr/>
  </w:style>
  <w:style w:type="character" w:styleId="FooterChar" w:customStyle="1">
    <w:name w:val="Footer Char"/>
    <w:basedOn w:val="DefaultParagraphFont"/>
    <w:link w:val="Footer"/>
    <w:uiPriority w:val="99"/>
    <w:qFormat/>
    <w:rsid w:val="00ce6e4f"/>
    <w:rPr/>
  </w:style>
  <w:style w:type="character" w:styleId="Heading1Char" w:customStyle="1">
    <w:name w:val="Heading 1 Char"/>
    <w:basedOn w:val="DefaultParagraphFont"/>
    <w:link w:val="Heading1"/>
    <w:uiPriority w:val="9"/>
    <w:qFormat/>
    <w:rsid w:val="00b333bb"/>
    <w:rPr>
      <w:rFonts w:eastAsia="" w:cs="" w:cstheme="majorBidi" w:eastAsiaTheme="majorEastAsia"/>
      <w:b/>
      <w:bCs/>
      <w:sz w:val="32"/>
      <w:szCs w:val="28"/>
    </w:rPr>
  </w:style>
  <w:style w:type="character" w:styleId="BalloonTextChar" w:customStyle="1">
    <w:name w:val="Balloon Text Char"/>
    <w:basedOn w:val="DefaultParagraphFont"/>
    <w:link w:val="BalloonText"/>
    <w:uiPriority w:val="99"/>
    <w:semiHidden/>
    <w:qFormat/>
    <w:rsid w:val="00ed47d7"/>
    <w:rPr>
      <w:rFonts w:ascii="Tahoma" w:hAnsi="Tahoma" w:cs="Tahoma"/>
      <w:szCs w:val="16"/>
    </w:rPr>
  </w:style>
  <w:style w:type="character" w:styleId="Heading2Char" w:customStyle="1">
    <w:name w:val="Heading 2 Char"/>
    <w:basedOn w:val="DefaultParagraphFont"/>
    <w:link w:val="Heading2"/>
    <w:uiPriority w:val="9"/>
    <w:qFormat/>
    <w:rsid w:val="00b333bb"/>
    <w:rPr>
      <w:rFonts w:eastAsia="" w:cs="" w:cstheme="majorBidi" w:eastAsiaTheme="majorEastAsia"/>
      <w:b/>
      <w:bCs/>
      <w:sz w:val="28"/>
      <w:szCs w:val="26"/>
    </w:rPr>
  </w:style>
  <w:style w:type="character" w:styleId="InternetLink" w:customStyle="1">
    <w:name w:val="Internet Link"/>
    <w:basedOn w:val="DefaultParagraphFont"/>
    <w:uiPriority w:val="99"/>
    <w:unhideWhenUsed/>
    <w:rsid w:val="00683f48"/>
    <w:rPr>
      <w:color w:val="0000FF" w:themeColor="hyperlink"/>
      <w:u w:val="single"/>
    </w:rPr>
  </w:style>
  <w:style w:type="character" w:styleId="TitleChar" w:customStyle="1">
    <w:name w:val="Title Char"/>
    <w:basedOn w:val="DefaultParagraphFont"/>
    <w:link w:val="Title"/>
    <w:uiPriority w:val="10"/>
    <w:qFormat/>
    <w:rsid w:val="009c650b"/>
    <w:rPr>
      <w:rFonts w:ascii="Times New Roman" w:hAnsi="Times New Roman" w:eastAsia="" w:cs="" w:cstheme="majorBidi" w:eastAsiaTheme="majorEastAsia"/>
      <w:b/>
      <w:spacing w:val="5"/>
      <w:kern w:val="2"/>
      <w:sz w:val="48"/>
      <w:szCs w:val="52"/>
    </w:rPr>
  </w:style>
  <w:style w:type="character" w:styleId="SubtitleChar" w:customStyle="1">
    <w:name w:val="Subtitle Char"/>
    <w:basedOn w:val="DefaultParagraphFont"/>
    <w:link w:val="Subtitle"/>
    <w:uiPriority w:val="11"/>
    <w:qFormat/>
    <w:rsid w:val="009c650b"/>
    <w:rPr>
      <w:rFonts w:ascii="Times New Roman" w:hAnsi="Times New Roman" w:eastAsia="" w:cs="" w:cstheme="majorBidi" w:eastAsiaTheme="majorEastAsia"/>
      <w:i/>
      <w:iCs/>
      <w:spacing w:val="15"/>
      <w:sz w:val="32"/>
      <w:szCs w:val="24"/>
    </w:rPr>
  </w:style>
  <w:style w:type="character" w:styleId="SubtleEmphasis">
    <w:name w:val="Subtle Emphasis"/>
    <w:uiPriority w:val="19"/>
    <w:qFormat/>
    <w:rsid w:val="00d54188"/>
    <w:rPr>
      <w:rFonts w:ascii="Times New Roman" w:hAnsi="Times New Roman"/>
      <w:i w:val="false"/>
      <w:iCs/>
      <w:color w:val="auto"/>
      <w:sz w:val="24"/>
    </w:rPr>
  </w:style>
  <w:style w:type="character" w:styleId="Annotationreference">
    <w:name w:val="annotation reference"/>
    <w:basedOn w:val="DefaultParagraphFont"/>
    <w:uiPriority w:val="99"/>
    <w:semiHidden/>
    <w:unhideWhenUsed/>
    <w:qFormat/>
    <w:rsid w:val="00ed47d7"/>
    <w:rPr>
      <w:sz w:val="16"/>
      <w:szCs w:val="16"/>
    </w:rPr>
  </w:style>
  <w:style w:type="character" w:styleId="CommentTextChar" w:customStyle="1">
    <w:name w:val="Comment Text Char"/>
    <w:basedOn w:val="DefaultParagraphFont"/>
    <w:link w:val="CommentText"/>
    <w:uiPriority w:val="99"/>
    <w:semiHidden/>
    <w:qFormat/>
    <w:rsid w:val="00ed47d7"/>
    <w:rPr>
      <w:sz w:val="20"/>
      <w:szCs w:val="20"/>
    </w:rPr>
  </w:style>
  <w:style w:type="character" w:styleId="CommentSubjectChar" w:customStyle="1">
    <w:name w:val="Comment Subject Char"/>
    <w:basedOn w:val="CommentTextChar"/>
    <w:link w:val="CommentSubject"/>
    <w:uiPriority w:val="99"/>
    <w:semiHidden/>
    <w:qFormat/>
    <w:rsid w:val="00ed47d7"/>
    <w:rPr>
      <w:b/>
      <w:bCs/>
      <w:sz w:val="20"/>
      <w:szCs w:val="20"/>
    </w:rPr>
  </w:style>
  <w:style w:type="character" w:styleId="FootnoteTextChar" w:customStyle="1">
    <w:name w:val="Footnote Text Char"/>
    <w:basedOn w:val="DefaultParagraphFont"/>
    <w:link w:val="FootnoteText"/>
    <w:uiPriority w:val="99"/>
    <w:semiHidden/>
    <w:qFormat/>
    <w:rsid w:val="00dc7c4b"/>
    <w:rPr>
      <w:sz w:val="20"/>
      <w:szCs w:val="20"/>
      <w:lang w:val="sv-SE"/>
    </w:rPr>
  </w:style>
  <w:style w:type="character" w:styleId="FootnoteCharacters">
    <w:name w:val="Footnote Characters"/>
    <w:basedOn w:val="DefaultParagraphFont"/>
    <w:uiPriority w:val="99"/>
    <w:semiHidden/>
    <w:unhideWhenUsed/>
    <w:qFormat/>
    <w:rsid w:val="00dc7c4b"/>
    <w:rPr>
      <w:vertAlign w:val="superscript"/>
    </w:rPr>
  </w:style>
  <w:style w:type="character" w:styleId="FootnoteAnchor">
    <w:name w:val="Footnote Anchor"/>
    <w:rPr>
      <w:vertAlign w:val="superscript"/>
    </w:rPr>
  </w:style>
  <w:style w:type="character" w:styleId="UnresolvedMention">
    <w:name w:val="Unresolved Mention"/>
    <w:basedOn w:val="DefaultParagraphFont"/>
    <w:uiPriority w:val="99"/>
    <w:semiHidden/>
    <w:unhideWhenUsed/>
    <w:qFormat/>
    <w:rsid w:val="00683f48"/>
    <w:rPr>
      <w:color w:val="605E5C"/>
      <w:shd w:fill="E1DFDD" w:val="clear"/>
    </w:rPr>
  </w:style>
  <w:style w:type="character" w:styleId="ListLabel1">
    <w:name w:val="ListLabel 1"/>
    <w:qFormat/>
    <w:rPr>
      <w:rFonts w:cs="Segoe UI"/>
      <w:color w:val="212121"/>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rFonts w:ascii="Times New Roman" w:hAnsi="Times New Roman" w:cs="Times New Roman" w:asciiTheme="minorHAnsi" w:cstheme="minorHAnsi" w:hAnsiTheme="minorHAnsi"/>
      <w:shd w:fill="FFFFFF" w:val="clear"/>
      <w:lang w:val="en-US"/>
    </w:rPr>
  </w:style>
  <w:style w:type="character" w:styleId="ListLabel12">
    <w:name w:val="ListLabel 12"/>
    <w:qFormat/>
    <w:rPr>
      <w:rFonts w:ascii="Times New Roman" w:hAnsi="Times New Roman" w:cs="Times New Roman" w:asciiTheme="minorHAnsi" w:cstheme="minorHAnsi" w:hAnsiTheme="minorHAnsi"/>
      <w:highlight w:val="white"/>
      <w:lang w:val="en-US"/>
    </w:rPr>
  </w:style>
  <w:style w:type="character" w:styleId="ListLabel13">
    <w:name w:val="ListLabel 13"/>
    <w:qFormat/>
    <w:rPr>
      <w:highlight w:val="white"/>
      <w:lang w:val="en-US"/>
    </w:rPr>
  </w:style>
  <w:style w:type="character" w:styleId="ListLabel14">
    <w:name w:val="ListLabel 14"/>
    <w:qFormat/>
    <w:rPr>
      <w:shd w:fill="FFFFFF" w:val="clear"/>
      <w:lang w:val="en-US"/>
    </w:rPr>
  </w:style>
  <w:style w:type="character" w:styleId="ListLabel15">
    <w:name w:val="ListLabel 15"/>
    <w:qFormat/>
    <w:rPr>
      <w:highlight w:val="white"/>
    </w:rPr>
  </w:style>
  <w:style w:type="character" w:styleId="ListLabel16">
    <w:name w:val="ListLabel 16"/>
    <w:qFormat/>
    <w:rPr>
      <w:rFonts w:ascii="Times New Roman" w:hAnsi="Times New Roman" w:cs="Times New Roman" w:asciiTheme="minorHAnsi" w:cstheme="minorHAnsi" w:hAnsiTheme="minorHAnsi"/>
      <w:lang w:val="en-US"/>
    </w:rPr>
  </w:style>
  <w:style w:type="character" w:styleId="ListLabel17">
    <w:name w:val="ListLabel 17"/>
    <w:qFormat/>
    <w:rPr>
      <w:lang w:val="en-US"/>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e6e4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e6e4f"/>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semiHidden/>
    <w:unhideWhenUsed/>
    <w:qFormat/>
    <w:rsid w:val="00ce6e4f"/>
    <w:pPr/>
    <w:rPr>
      <w:lang w:eastAsia="ja-JP"/>
    </w:rPr>
  </w:style>
  <w:style w:type="paragraph" w:styleId="BalloonText">
    <w:name w:val="Balloon Text"/>
    <w:basedOn w:val="Normal"/>
    <w:link w:val="BalloonTextChar"/>
    <w:uiPriority w:val="99"/>
    <w:semiHidden/>
    <w:unhideWhenUsed/>
    <w:qFormat/>
    <w:rsid w:val="00ed47d7"/>
    <w:pPr>
      <w:spacing w:lineRule="auto" w:line="240" w:before="0" w:after="0"/>
    </w:pPr>
    <w:rPr>
      <w:rFonts w:ascii="Tahoma" w:hAnsi="Tahoma" w:cs="Tahoma"/>
      <w:szCs w:val="16"/>
    </w:rPr>
  </w:style>
  <w:style w:type="paragraph" w:styleId="Contents1">
    <w:name w:val="TOC 1"/>
    <w:basedOn w:val="Normal"/>
    <w:next w:val="Normal"/>
    <w:autoRedefine/>
    <w:uiPriority w:val="39"/>
    <w:unhideWhenUsed/>
    <w:rsid w:val="00a51af1"/>
    <w:pPr>
      <w:spacing w:before="0" w:after="100"/>
    </w:pPr>
    <w:rPr/>
  </w:style>
  <w:style w:type="paragraph" w:styleId="Title">
    <w:name w:val="Title"/>
    <w:basedOn w:val="Normal"/>
    <w:next w:val="Normal"/>
    <w:link w:val="TitleChar"/>
    <w:uiPriority w:val="10"/>
    <w:qFormat/>
    <w:rsid w:val="009c650b"/>
    <w:pPr>
      <w:pBdr>
        <w:bottom w:val="single" w:sz="8" w:space="4" w:color="4F81BD"/>
      </w:pBdr>
      <w:spacing w:lineRule="auto" w:line="240" w:before="0" w:after="300"/>
      <w:contextualSpacing/>
    </w:pPr>
    <w:rPr>
      <w:rFonts w:eastAsia="" w:cs="" w:cstheme="majorBidi" w:eastAsiaTheme="majorEastAsia"/>
      <w:b/>
      <w:spacing w:val="5"/>
      <w:kern w:val="2"/>
      <w:sz w:val="48"/>
      <w:szCs w:val="52"/>
    </w:rPr>
  </w:style>
  <w:style w:type="paragraph" w:styleId="Subtitle">
    <w:name w:val="Subtitle"/>
    <w:basedOn w:val="Normal"/>
    <w:next w:val="Normal"/>
    <w:link w:val="SubtitleChar"/>
    <w:uiPriority w:val="11"/>
    <w:qFormat/>
    <w:rsid w:val="009c650b"/>
    <w:pPr/>
    <w:rPr>
      <w:rFonts w:eastAsia="" w:cs="" w:cstheme="majorBidi" w:eastAsiaTheme="majorEastAsia"/>
      <w:i/>
      <w:iCs/>
      <w:spacing w:val="15"/>
      <w:sz w:val="32"/>
    </w:rPr>
  </w:style>
  <w:style w:type="paragraph" w:styleId="Default" w:customStyle="1">
    <w:name w:val="Default"/>
    <w:qFormat/>
    <w:rsid w:val="00a85a75"/>
    <w:pPr>
      <w:widowControl/>
      <w:bidi w:val="0"/>
      <w:spacing w:lineRule="auto" w:line="240" w:before="0" w:after="0"/>
      <w:jc w:val="left"/>
    </w:pPr>
    <w:rPr>
      <w:rFonts w:ascii="Calibri" w:hAnsi="Calibri" w:cs="Calibri" w:eastAsia="Times New Roman"/>
      <w:color w:val="000000"/>
      <w:kern w:val="0"/>
      <w:sz w:val="24"/>
      <w:szCs w:val="24"/>
      <w:lang w:val="en-US" w:eastAsia="en-US" w:bidi="ar-SA"/>
    </w:rPr>
  </w:style>
  <w:style w:type="paragraph" w:styleId="Annotationtext">
    <w:name w:val="annotation text"/>
    <w:basedOn w:val="Normal"/>
    <w:link w:val="CommentTextChar"/>
    <w:uiPriority w:val="99"/>
    <w:semiHidden/>
    <w:unhideWhenUsed/>
    <w:qFormat/>
    <w:rsid w:val="00ed47d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d47d7"/>
    <w:pPr/>
    <w:rPr>
      <w:b/>
      <w:bCs/>
    </w:rPr>
  </w:style>
  <w:style w:type="paragraph" w:styleId="Footnote">
    <w:name w:val="Footnote Text"/>
    <w:basedOn w:val="Normal"/>
    <w:link w:val="FootnoteTextChar"/>
    <w:uiPriority w:val="99"/>
    <w:semiHidden/>
    <w:unhideWhenUsed/>
    <w:rsid w:val="00dc7c4b"/>
    <w:pPr>
      <w:spacing w:lineRule="auto" w:line="240" w:before="0" w:after="0"/>
    </w:pPr>
    <w:rPr>
      <w:sz w:val="20"/>
      <w:szCs w:val="20"/>
    </w:rPr>
  </w:style>
  <w:style w:type="paragraph" w:styleId="ListParagraph">
    <w:name w:val="List Paragraph"/>
    <w:basedOn w:val="Normal"/>
    <w:uiPriority w:val="34"/>
    <w:qFormat/>
    <w:rsid w:val="00dc7c4b"/>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doi-org.proxy.kib.ki.se/10.1136/injuryprev-2019-043494" TargetMode="External"/><Relationship Id="rId7" Type="http://schemas.openxmlformats.org/officeDocument/2006/relationships/hyperlink" Target="https://doi-org.proxy.kib.ki.se/10.1016/S0140-6736(18)32335-3" TargetMode="External"/><Relationship Id="rId8" Type="http://schemas.openxmlformats.org/officeDocument/2006/relationships/hyperlink" Target="https://doi-org.proxy.kib.ki.se/10.1371/journal.pone.0224721" TargetMode="External"/><Relationship Id="rId9" Type="http://schemas.openxmlformats.org/officeDocument/2006/relationships/hyperlink" Target="https://doi-org.proxy.kib.ki.se/10.1007/s00268-012-1459-6" TargetMode="External"/><Relationship Id="rId10" Type="http://schemas.openxmlformats.org/officeDocument/2006/relationships/hyperlink" Target="https://doi-org.proxy.kib.ki.se/10.1056/NEJMra1609326" TargetMode="External"/><Relationship Id="rId11" Type="http://schemas.openxmlformats.org/officeDocument/2006/relationships/hyperlink" Target="https://doi-org.proxy.kib.ki.se/10.1186/s13054-019-2663-7" TargetMode="External"/><Relationship Id="rId12" Type="http://schemas.openxmlformats.org/officeDocument/2006/relationships/hyperlink" Target="https://doi.org/10.1007/s00108-017-0338-5" TargetMode="External"/><Relationship Id="rId13" Type="http://schemas.openxmlformats.org/officeDocument/2006/relationships/hyperlink" Target="https://doi.org/10.1001/jama.2016.0289" TargetMode="External"/><Relationship Id="rId14" Type="http://schemas.openxmlformats.org/officeDocument/2006/relationships/hyperlink" Target="https://doi.org/10.1016/j.ajem.2019.03.007" TargetMode="External"/><Relationship Id="rId15" Type="http://schemas.openxmlformats.org/officeDocument/2006/relationships/hyperlink" Target="https://doi-org.proxy.kib.ki.se/10.1002/ams2.532" TargetMode="External"/><Relationship Id="rId16" Type="http://schemas.openxmlformats.org/officeDocument/2006/relationships/hyperlink" Target="https://doi-org.proxy.kib.ki.se/10.1097/00005373-198905000-00017" TargetMode="External"/><Relationship Id="rId17" Type="http://schemas.openxmlformats.org/officeDocument/2006/relationships/hyperlink" Target="https://doi-org.proxy.kib.ki.se/10.1097/MEJ.0b013e328344912e" TargetMode="External"/><Relationship Id="rId18" Type="http://schemas.openxmlformats.org/officeDocument/2006/relationships/hyperlink" Target="https://doi-org.proxy.kib.ki.se/10.1590/0100-69912016005010" TargetMode="External"/><Relationship Id="rId19" Type="http://schemas.openxmlformats.org/officeDocument/2006/relationships/hyperlink" Target="https://github.com/titco/titco-I" TargetMode="External"/><Relationship Id="rId20" Type="http://schemas.openxmlformats.org/officeDocument/2006/relationships/footer" Target="footer3.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6D077-7613-4B5E-8322-CD50C005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LibreOffice/6.1.5.2$Linux_X86_64 LibreOffice_project/10$Build-2</Application>
  <Pages>10</Pages>
  <Words>2217</Words>
  <Characters>12444</Characters>
  <CharactersWithSpaces>14634</CharactersWithSpaces>
  <Paragraphs>60</Paragraphs>
  <Company>MEB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2020-10-05T12:04:00Z</dcterms:created>
  <dc:creator>Kristina Leif</dc:creator>
  <dc:description/>
  <dc:language>en-GB</dc:language>
  <cp:lastModifiedBy>Martin Gerdin Wärnberg</cp:lastModifiedBy>
  <cp:lastPrinted>2012-03-20T13:17:00Z</cp:lastPrinted>
  <dcterms:modified xsi:type="dcterms:W3CDTF">2020-10-06T21:58:28Z</dcterms:modified>
  <cp:revision>14</cp:revision>
  <dc:subject/>
  <dc:title>Titel på uppsatsen placeras här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