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8"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(18)</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(19)</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(20)</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(21)</w:t>
      </w:r>
      <w:r>
        <w:t xml:space="preserve">. Furthermore there is no consensus for classification of preventable and non preventable death, leading authors to use different classifications</w:t>
      </w:r>
      <w:r>
        <w:t xml:space="preserve"> </w:t>
      </w:r>
      <w:r>
        <w:t xml:space="preserve">(22)</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(19)</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different trauma subgroups.</w:t>
      </w:r>
      <w:r>
        <w:t xml:space="preserve">(23)</w:t>
      </w:r>
      <w:r>
        <w:t xml:space="preserve">. Some examples of subgroups are men and women, blunt and penetrating trauma, geriatric, major and minor trauma and traumatic brain injury</w:t>
      </w:r>
      <w:r>
        <w:t xml:space="preserve"> </w:t>
      </w:r>
      <w:r>
        <w:t xml:space="preserve">(24)</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(24)</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(24)</w:t>
      </w:r>
      <w:r>
        <w:t xml:space="preserve">. As trauma patterns differs, it is also possible that OFI frequency differs between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(24)</w:t>
      </w:r>
      <w:r>
        <w:t xml:space="preserve"> </w:t>
      </w:r>
      <w:r>
        <w:t xml:space="preserve">But despite having all this data in the trauma registers, knowledge regarding OFI patterns among different trauma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 The first registry is the trauma registry at the Karolinska University Hospital</w:t>
      </w:r>
      <w:r>
        <w:t xml:space="preserve"> </w:t>
      </w:r>
      <w:r>
        <w:t xml:space="preserve">in Solna. It is a part of SweTrau and contains patients from the years 2012 to 2021.</w:t>
      </w:r>
      <w:r>
        <w:t xml:space="preserve"> </w:t>
      </w:r>
      <w:r>
        <w:t xml:space="preserve">The second registry is the the trauma care quality database which is a subset of the Karolinska University Hospital Trauma Registry</w:t>
      </w:r>
      <w:r>
        <w:t xml:space="preserve">. It</w:t>
      </w:r>
      <w:r>
        <w:t xml:space="preserve"> </w:t>
      </w:r>
      <w:r>
        <w:t xml:space="preserve">includes patients selected for review between 2014 and 2021. These registries were merged and a complete case analysis was done. Scrambled data was used to decrease the risk for bias. The results were presented in tables showing the frequency of OFI for the different subgroups. Deltavalues for OFI frequency between subgroups was calculated. Bootstrapping was then preformed to estimate the confidence interval for the delta values aswell as the confdence intervall for each OFI frequency.</w:t>
      </w:r>
    </w:p>
    <w:bookmarkEnd w:id="29"/>
    <w:bookmarkStart w:id="31"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team at Karolinska Solna only those who are classified as a priority one by the pre hospital professionals are admitted.</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r>
        <w:drawing>
          <wp:inline>
            <wp:extent cx="3810000" cy="252356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3810000" cy="2523564"/>
                    </a:xfrm>
                    <a:prstGeom prst="rect">
                      <a:avLst/>
                    </a:prstGeom>
                    <a:noFill/>
                    <a:ln w="9525">
                      <a:noFill/>
                      <a:headEnd/>
                      <a:tailEnd/>
                    </a:ln>
                  </pic:spPr>
                </pic:pic>
              </a:graphicData>
            </a:graphic>
          </wp:inline>
        </w:drawing>
      </w:r>
    </w:p>
    <w:bookmarkEnd w:id="31"/>
    <w:bookmarkStart w:id="32"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or AIS code the patient was excluded.</w:t>
      </w:r>
    </w:p>
    <w:bookmarkEnd w:id="32"/>
    <w:bookmarkStart w:id="33"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3"/>
    <w:bookmarkStart w:id="34"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datasets. The analyses were then repeated in these bootstrap samples and the confidence intervals were estimated both for the OFI frequencies and for the delta values based on their distributions across bootstrap samples.</w:t>
      </w:r>
    </w:p>
    <w:bookmarkEnd w:id="37"/>
    <w:bookmarkEnd w:id="38"/>
    <w:bookmarkStart w:id="44" w:name="results"/>
    <w:p>
      <w:pPr>
        <w:pStyle w:val="Heading1"/>
      </w:pPr>
      <w:r>
        <w:t xml:space="preserve">Results</w:t>
      </w:r>
    </w:p>
    <w:bookmarkStart w:id="40"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6146 patients. Each step in the exclusion process is shown in the exclusion chart.</w:t>
      </w:r>
    </w:p>
    <w:p>
      <w:pPr>
        <w:pStyle w:val="BodyText"/>
      </w:pPr>
      <w:r>
        <w:drawing>
          <wp:inline>
            <wp:extent cx="3810000" cy="5072019"/>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9"/>
                    <a:stretch>
                      <a:fillRect/>
                    </a:stretch>
                  </pic:blipFill>
                  <pic:spPr bwMode="auto">
                    <a:xfrm>
                      <a:off x="0" y="0"/>
                      <a:ext cx="3810000" cy="5072019"/>
                    </a:xfrm>
                    <a:prstGeom prst="rect">
                      <a:avLst/>
                    </a:prstGeom>
                    <a:noFill/>
                    <a:ln w="9525">
                      <a:noFill/>
                      <a:headEnd/>
                      <a:tailEnd/>
                    </a:ln>
                  </pic:spPr>
                </pic:pic>
              </a:graphicData>
            </a:graphic>
          </wp:inline>
        </w:drawing>
      </w:r>
    </w:p>
    <w:bookmarkEnd w:id="40"/>
    <w:bookmarkStart w:id="41" w:name="descriptive-data"/>
    <w:p>
      <w:pPr>
        <w:pStyle w:val="Heading2"/>
      </w:pPr>
      <w:r>
        <w:t xml:space="preserve">Descriptive data</w:t>
      </w:r>
    </w:p>
    <w:p>
      <w:pPr>
        <w:pStyle w:val="FirstParagraph"/>
      </w:pPr>
      <w:r>
        <w:t xml:space="preserve">As shown in table 1, out of the 6146 patients included in the cohort 4295 (69.88%) were men. The mean age for all the patients were 45 years and the mean NISS score was 16 (SD 16.22). There was 2582 (42.01%) cases of major trauma and the most frequent dominating type of injury was Blunt trauma with 5153 (83.84%) cases. Among the cohort of Most severe region Head trauma was most frequent with a number of 1677 (27.29%) cases. The largest diffrence in number of OFI patients and no OFI patients was found in the xxx cohort. The median age was higher in the OFI cohort at 47 years, compared with the non OFI cohort which had a median age of 42 years. In the 30 day survuval group, those who did not have OFI were more likely to be alive after 30 days (92,1%) compared with the OFI group (90,1%).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78"/>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survival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Yes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Most severe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bookmarkEnd w:id="41"/>
    <w:bookmarkStart w:id="42" w:name="main-results"/>
    <w:p>
      <w:pPr>
        <w:pStyle w:val="Heading2"/>
      </w:pPr>
      <w:r>
        <w:t xml:space="preserve">Main results</w:t>
      </w:r>
    </w:p>
    <w:p>
      <w:pPr>
        <w:pStyle w:val="FirstParagraph"/>
      </w:pPr>
      <w:r>
        <w:t xml:space="preserve">The subgroup with the highest OFI frequency was found in the Abdomen cohort in the most severely injured body region subgrop with a frequency at 12,73%. The lowest OFI frequency was measured in the xxx cohort with a frquency at 2.25%. Among the men the frequency of OFI was 7.33% ( 6.41 - 8.35 ) and among the women 6.1% ( 5.23 - 7.4 ). In the entire cohort the mean frequency of OFI was 7%. Major trauma had a higher OFI frequency then Minor trauma. In the Most Severe Region subgroup, OFI was most frequent in the Abdomen cohort with a frequency of 12,73%. Penetrating trauma had an OFI frequency at 6,34% and the same number for Blunt trauma was 3,03%.</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( 6.41 - 8.35 )</w:t>
            </w:r>
          </w:p>
        </w:tc>
      </w:tr>
      <w:tr>
        <w:tc>
          <w:p>
            <w:pPr>
              <w:pStyle w:val="Compact"/>
              <w:jc w:val="left"/>
            </w:pPr>
            <w:r>
              <w:t xml:space="preserve">Women</w:t>
            </w:r>
          </w:p>
        </w:tc>
        <w:tc>
          <w:p>
            <w:pPr>
              <w:pStyle w:val="Compact"/>
              <w:jc w:val="center"/>
            </w:pPr>
            <w:r>
              <w:t xml:space="preserve">6.1</w:t>
            </w:r>
          </w:p>
        </w:tc>
        <w:tc>
          <w:p>
            <w:pPr>
              <w:pStyle w:val="Compact"/>
              <w:jc w:val="right"/>
            </w:pPr>
            <w:r>
              <w:t xml:space="preserve">( 5.23 - 7.4 )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( 6.46 - 7.88 )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( 0 - 0 )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( 2.65 - 3.57 )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( 11.09 - 12.67 )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( 5.76 - 7.48 )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( 1.42 - 3.79 )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( 7.52 - 9.8 )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( 9.38 - 16.87 )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( 6.38 - 7.64 )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( 2.6 - 5.9 )</w:t>
            </w:r>
          </w:p>
        </w:tc>
      </w:tr>
      <w:tr>
        <w:tc>
          <w:p>
            <w:pPr>
              <w:pStyle w:val="Compact"/>
              <w:jc w:val="left"/>
            </w:pPr>
            <w:r>
              <w:t xml:space="preserve">Table 3</w:t>
            </w:r>
          </w:p>
        </w:tc>
        <w:tc>
          <w:p/>
        </w:tc>
        <w:tc>
          <w:p/>
        </w:tc>
      </w:tr>
    </w:tbl>
    <w:bookmarkEnd w:id="42"/>
    <w:bookmarkStart w:id="43"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p>
    <w:p>
      <w:pPr>
        <w:pStyle w:val="TableCaption"/>
      </w:pPr>
      <w:r>
        <w:t xml:space="preserve">Delta MRS values</w:t>
      </w:r>
    </w:p>
    <w:tbl>
      <w:tblPr>
        <w:tblStyle w:val="Table"/>
        <w:tblW w:type="pct" w:w="5000.0"/>
        <w:tblLook w:firstRow="1" w:lastRow="0" w:firstColumn="0" w:lastColumn="0" w:noHBand="0" w:noVBand="0" w:val="0020"/>
        <w:tblCaption w:val="Delta MRS values"/>
      </w:tblPr>
      <w:tblGrid>
        <w:gridCol w:w="1050"/>
        <w:gridCol w:w="1010"/>
        <w:gridCol w:w="1050"/>
        <w:gridCol w:w="1050"/>
        <w:gridCol w:w="929"/>
        <w:gridCol w:w="929"/>
        <w:gridCol w:w="969"/>
        <w:gridCol w:w="929"/>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3.18 ( 0.48 - 4.26 )</w:t>
            </w:r>
          </w:p>
        </w:tc>
        <w:tc>
          <w:p>
            <w:pPr>
              <w:pStyle w:val="Compact"/>
              <w:jc w:val="left"/>
            </w:pPr>
            <w:r>
              <w:t xml:space="preserve">-1.61 ( -3.71 - 0.42 )</w:t>
            </w:r>
          </w:p>
        </w:tc>
        <w:tc>
          <w:p>
            <w:pPr>
              <w:pStyle w:val="Compact"/>
              <w:jc w:val="left"/>
            </w:pPr>
            <w:r>
              <w:t xml:space="preserve">4.73 ( 2.52 - 6.3 )</w:t>
            </w:r>
          </w:p>
        </w:tc>
        <w:tc>
          <w:p>
            <w:pPr>
              <w:pStyle w:val="Compact"/>
              <w:jc w:val="left"/>
            </w:pPr>
            <w:r>
              <w:t xml:space="preserve">8.87 ( 4.76 - 12.99 )</w:t>
            </w:r>
          </w:p>
        </w:tc>
        <w:tc>
          <w:p>
            <w:pPr>
              <w:pStyle w:val="Compact"/>
              <w:jc w:val="left"/>
            </w:pPr>
            <w:r>
              <w:t xml:space="preserve">2.86 ( 0.96 - 4.56 )</w:t>
            </w:r>
          </w:p>
        </w:tc>
        <w:tc>
          <w:p>
            <w:pPr>
              <w:pStyle w:val="Compact"/>
              <w:jc w:val="left"/>
            </w:pPr>
            <w:r>
              <w:t xml:space="preserve">-2.92 ( -4.86 - -0.83 )</w:t>
            </w:r>
          </w:p>
        </w:tc>
        <w:tc>
          <w:p>
            <w:pPr>
              <w:pStyle w:val="Compact"/>
              <w:jc w:val="left"/>
            </w:pPr>
            <w:r>
              <w:t xml:space="preserve">-</w:t>
            </w:r>
          </w:p>
        </w:tc>
      </w:tr>
      <w:tr>
        <w:tc>
          <w:p>
            <w:pPr>
              <w:pStyle w:val="Compact"/>
              <w:jc w:val="left"/>
            </w:pPr>
            <w:r>
              <w:t xml:space="preserve">Unspecified</w:t>
            </w:r>
          </w:p>
        </w:tc>
        <w:tc>
          <w:p>
            <w:pPr>
              <w:pStyle w:val="Compact"/>
              <w:jc w:val="left"/>
            </w:pPr>
            <w:r>
              <w:t xml:space="preserve">6.09 ( 3.78 - 6.64 )</w:t>
            </w:r>
          </w:p>
        </w:tc>
        <w:tc>
          <w:p>
            <w:pPr>
              <w:pStyle w:val="Compact"/>
              <w:jc w:val="left"/>
            </w:pPr>
            <w:r>
              <w:t xml:space="preserve">1.31 ( -0.23 - 2.63 )</w:t>
            </w:r>
          </w:p>
        </w:tc>
        <w:tc>
          <w:p>
            <w:pPr>
              <w:pStyle w:val="Compact"/>
              <w:jc w:val="left"/>
            </w:pPr>
            <w:r>
              <w:t xml:space="preserve">7.65 ( 5.62 - 8.89 )</w:t>
            </w:r>
          </w:p>
        </w:tc>
        <w:tc>
          <w:p>
            <w:pPr>
              <w:pStyle w:val="Compact"/>
              <w:jc w:val="left"/>
            </w:pPr>
            <w:r>
              <w:t xml:space="preserve">11.78 ( 7.78 - 15.66 )</w:t>
            </w:r>
          </w:p>
        </w:tc>
        <w:tc>
          <w:p>
            <w:pPr>
              <w:pStyle w:val="Compact"/>
              <w:jc w:val="left"/>
            </w:pPr>
            <w:r>
              <w:t xml:space="preserve">5.78 ( 4.64 - 6.57 )</w:t>
            </w:r>
          </w:p>
        </w:tc>
        <w:tc>
          <w:p>
            <w:pPr>
              <w:pStyle w:val="Compact"/>
              <w:jc w:val="left"/>
            </w:pPr>
            <w:r>
              <w:t xml:space="preserve">-</w:t>
            </w:r>
          </w:p>
        </w:tc>
        <w:tc>
          <w:p>
            <w:pPr>
              <w:pStyle w:val="Compact"/>
              <w:jc w:val="left"/>
            </w:pPr>
            <w:r>
              <w:t xml:space="preserve">2.92 ( 0.69 - 4.86 )</w:t>
            </w:r>
          </w:p>
        </w:tc>
      </w:tr>
      <w:tr>
        <w:tc>
          <w:p>
            <w:pPr>
              <w:pStyle w:val="Compact"/>
              <w:jc w:val="left"/>
            </w:pPr>
            <w:r>
              <w:t xml:space="preserve">Extremity</w:t>
            </w:r>
          </w:p>
        </w:tc>
        <w:tc>
          <w:p>
            <w:pPr>
              <w:pStyle w:val="Compact"/>
              <w:jc w:val="left"/>
            </w:pPr>
            <w:r>
              <w:t xml:space="preserve">0.31 ( -1.54 - 0.76 )</w:t>
            </w:r>
          </w:p>
        </w:tc>
        <w:tc>
          <w:p>
            <w:pPr>
              <w:pStyle w:val="Compact"/>
              <w:jc w:val="left"/>
            </w:pPr>
            <w:r>
              <w:t xml:space="preserve">-4.47 ( -6.02 - -2.79 )</w:t>
            </w:r>
          </w:p>
        </w:tc>
        <w:tc>
          <w:p>
            <w:pPr>
              <w:pStyle w:val="Compact"/>
              <w:jc w:val="left"/>
            </w:pPr>
            <w:r>
              <w:t xml:space="preserve">1.87 ( 0.55 - 2.74 )</w:t>
            </w:r>
          </w:p>
        </w:tc>
        <w:tc>
          <w:p>
            <w:pPr>
              <w:pStyle w:val="Compact"/>
              <w:jc w:val="left"/>
            </w:pPr>
            <w:r>
              <w:t xml:space="preserve">6.01 ( 2.03 - 10.2 )</w:t>
            </w:r>
          </w:p>
        </w:tc>
        <w:tc>
          <w:p>
            <w:pPr>
              <w:pStyle w:val="Compact"/>
              <w:jc w:val="left"/>
            </w:pPr>
            <w:r>
              <w:t xml:space="preserve">-</w:t>
            </w:r>
          </w:p>
        </w:tc>
        <w:tc>
          <w:p>
            <w:pPr>
              <w:pStyle w:val="Compact"/>
              <w:jc w:val="left"/>
            </w:pPr>
            <w:r>
              <w:t xml:space="preserve">-5.78 ( 0.69 - -4.64 )</w:t>
            </w:r>
          </w:p>
        </w:tc>
        <w:tc>
          <w:p>
            <w:pPr>
              <w:pStyle w:val="Compact"/>
              <w:jc w:val="left"/>
            </w:pPr>
            <w:r>
              <w:t xml:space="preserve">-2.86 ( 0.69 - -0.96 )</w:t>
            </w:r>
          </w:p>
        </w:tc>
      </w:tr>
      <w:tr>
        <w:tc>
          <w:p>
            <w:pPr>
              <w:pStyle w:val="Compact"/>
              <w:jc w:val="left"/>
            </w:pPr>
            <w:r>
              <w:t xml:space="preserve">Abdomen</w:t>
            </w:r>
          </w:p>
        </w:tc>
        <w:tc>
          <w:p>
            <w:pPr>
              <w:pStyle w:val="Compact"/>
              <w:jc w:val="left"/>
            </w:pPr>
            <w:r>
              <w:t xml:space="preserve">-5.69 ( -10.56 - -2.46 )</w:t>
            </w:r>
          </w:p>
        </w:tc>
        <w:tc>
          <w:p>
            <w:pPr>
              <w:pStyle w:val="Compact"/>
              <w:jc w:val="left"/>
            </w:pPr>
            <w:r>
              <w:t xml:space="preserve">-10.48 ( -13.93 - -7.11 )</w:t>
            </w:r>
          </w:p>
        </w:tc>
        <w:tc>
          <w:p>
            <w:pPr>
              <w:pStyle w:val="Compact"/>
              <w:jc w:val="left"/>
            </w:pPr>
            <w:r>
              <w:t xml:space="preserve">-4.14 ( -9.16 - 0.23 )</w:t>
            </w:r>
          </w:p>
        </w:tc>
        <w:tc>
          <w:p>
            <w:pPr>
              <w:pStyle w:val="Compact"/>
              <w:jc w:val="left"/>
            </w:pPr>
            <w:r>
              <w:t xml:space="preserve">-</w:t>
            </w:r>
          </w:p>
        </w:tc>
        <w:tc>
          <w:p>
            <w:pPr>
              <w:pStyle w:val="Compact"/>
              <w:jc w:val="left"/>
            </w:pPr>
            <w:r>
              <w:t xml:space="preserve">-6.01 ( 0.69 - -2.03 )</w:t>
            </w:r>
          </w:p>
        </w:tc>
        <w:tc>
          <w:p>
            <w:pPr>
              <w:pStyle w:val="Compact"/>
              <w:jc w:val="left"/>
            </w:pPr>
            <w:r>
              <w:t xml:space="preserve">-11.78 ( 0.69 - -7.78 )</w:t>
            </w:r>
          </w:p>
        </w:tc>
        <w:tc>
          <w:p>
            <w:pPr>
              <w:pStyle w:val="Compact"/>
              <w:jc w:val="left"/>
            </w:pPr>
            <w:r>
              <w:t xml:space="preserve">-8.87 ( 0.69 - -4.76 )</w:t>
            </w:r>
          </w:p>
        </w:tc>
      </w:tr>
      <w:tr>
        <w:tc>
          <w:p>
            <w:pPr>
              <w:pStyle w:val="Compact"/>
              <w:jc w:val="left"/>
            </w:pPr>
            <w:r>
              <w:t xml:space="preserve">Chest, diaphragm or spine</w:t>
            </w:r>
          </w:p>
        </w:tc>
        <w:tc>
          <w:p>
            <w:pPr>
              <w:pStyle w:val="Compact"/>
              <w:jc w:val="left"/>
            </w:pPr>
            <w:r>
              <w:t xml:space="preserve">-1.56 ( -3.39 - -0.69 )</w:t>
            </w:r>
          </w:p>
        </w:tc>
        <w:tc>
          <w:p>
            <w:pPr>
              <w:pStyle w:val="Compact"/>
              <w:jc w:val="left"/>
            </w:pPr>
            <w:r>
              <w:t xml:space="preserve">-6.34 ( -7.97 - -4.14 )</w:t>
            </w:r>
          </w:p>
        </w:tc>
        <w:tc>
          <w:p>
            <w:pPr>
              <w:pStyle w:val="Compact"/>
              <w:jc w:val="left"/>
            </w:pPr>
            <w:r>
              <w:t xml:space="preserve">-</w:t>
            </w:r>
          </w:p>
        </w:tc>
        <w:tc>
          <w:p>
            <w:pPr>
              <w:pStyle w:val="Compact"/>
              <w:jc w:val="left"/>
            </w:pPr>
            <w:r>
              <w:t xml:space="preserve">4.14 ( 0.69 - 9.16 )</w:t>
            </w:r>
          </w:p>
        </w:tc>
        <w:tc>
          <w:p>
            <w:pPr>
              <w:pStyle w:val="Compact"/>
              <w:jc w:val="left"/>
            </w:pPr>
            <w:r>
              <w:t xml:space="preserve">-1.87 ( 0.69 - -0.55 )</w:t>
            </w:r>
          </w:p>
        </w:tc>
        <w:tc>
          <w:p>
            <w:pPr>
              <w:pStyle w:val="Compact"/>
              <w:jc w:val="left"/>
            </w:pPr>
            <w:r>
              <w:t xml:space="preserve">-7.65 ( 0.69 - -5.62 )</w:t>
            </w:r>
          </w:p>
        </w:tc>
        <w:tc>
          <w:p>
            <w:pPr>
              <w:pStyle w:val="Compact"/>
              <w:jc w:val="left"/>
            </w:pPr>
            <w:r>
              <w:t xml:space="preserve">-4.73 ( 0.69 - -2.52 )</w:t>
            </w:r>
          </w:p>
        </w:tc>
      </w:tr>
      <w:tr>
        <w:tc>
          <w:p>
            <w:pPr>
              <w:pStyle w:val="Compact"/>
              <w:jc w:val="left"/>
            </w:pPr>
            <w:r>
              <w:t xml:space="preserve">Face</w:t>
            </w:r>
          </w:p>
        </w:tc>
        <w:tc>
          <w:p>
            <w:pPr>
              <w:pStyle w:val="Compact"/>
              <w:jc w:val="left"/>
            </w:pPr>
            <w:r>
              <w:t xml:space="preserve">4.79 ( 2.88 - 5.15 )</w:t>
            </w:r>
          </w:p>
        </w:tc>
        <w:tc>
          <w:p>
            <w:pPr>
              <w:pStyle w:val="Compact"/>
              <w:jc w:val="left"/>
            </w:pPr>
            <w:r>
              <w:t xml:space="preserve">-</w:t>
            </w:r>
          </w:p>
        </w:tc>
        <w:tc>
          <w:p>
            <w:pPr>
              <w:pStyle w:val="Compact"/>
              <w:jc w:val="left"/>
            </w:pPr>
            <w:r>
              <w:t xml:space="preserve">6.34 ( 0.69 - 7.97 )</w:t>
            </w:r>
          </w:p>
        </w:tc>
        <w:tc>
          <w:p>
            <w:pPr>
              <w:pStyle w:val="Compact"/>
              <w:jc w:val="left"/>
            </w:pPr>
            <w:r>
              <w:t xml:space="preserve">10.48 ( 0.69 - 13.93 )</w:t>
            </w:r>
          </w:p>
        </w:tc>
        <w:tc>
          <w:p>
            <w:pPr>
              <w:pStyle w:val="Compact"/>
              <w:jc w:val="left"/>
            </w:pPr>
            <w:r>
              <w:t xml:space="preserve">4.47 ( 0.69 - 6.02 )</w:t>
            </w:r>
          </w:p>
        </w:tc>
        <w:tc>
          <w:p>
            <w:pPr>
              <w:pStyle w:val="Compact"/>
              <w:jc w:val="left"/>
            </w:pPr>
            <w:r>
              <w:t xml:space="preserve">-1.31 ( 0.69 - 0.23 )</w:t>
            </w:r>
          </w:p>
        </w:tc>
        <w:tc>
          <w:p>
            <w:pPr>
              <w:pStyle w:val="Compact"/>
              <w:jc w:val="left"/>
            </w:pPr>
            <w:r>
              <w:t xml:space="preserve">1.61 ( 0.69 - 3.71 )</w:t>
            </w:r>
          </w:p>
        </w:tc>
      </w:tr>
      <w:tr>
        <w:tc>
          <w:p>
            <w:pPr>
              <w:pStyle w:val="Compact"/>
              <w:jc w:val="left"/>
            </w:pPr>
            <w:r>
              <w:t xml:space="preserve">Head or neck</w:t>
            </w:r>
          </w:p>
        </w:tc>
        <w:tc>
          <w:p>
            <w:pPr>
              <w:pStyle w:val="Compact"/>
              <w:jc w:val="left"/>
            </w:pPr>
            <w:r>
              <w:t xml:space="preserve">-</w:t>
            </w:r>
          </w:p>
        </w:tc>
        <w:tc>
          <w:p>
            <w:pPr>
              <w:pStyle w:val="Compact"/>
              <w:jc w:val="left"/>
            </w:pPr>
            <w:r>
              <w:t xml:space="preserve">-4.79 ( -5.15 - -2.88 )</w:t>
            </w:r>
          </w:p>
        </w:tc>
        <w:tc>
          <w:p>
            <w:pPr>
              <w:pStyle w:val="Compact"/>
              <w:jc w:val="left"/>
            </w:pPr>
            <w:r>
              <w:t xml:space="preserve">1.56 ( 0.69 - 3.39 )</w:t>
            </w:r>
          </w:p>
        </w:tc>
        <w:tc>
          <w:p>
            <w:pPr>
              <w:pStyle w:val="Compact"/>
              <w:jc w:val="left"/>
            </w:pPr>
            <w:r>
              <w:t xml:space="preserve">5.69 ( 0.69 - 10.56 )</w:t>
            </w:r>
          </w:p>
        </w:tc>
        <w:tc>
          <w:p>
            <w:pPr>
              <w:pStyle w:val="Compact"/>
              <w:jc w:val="left"/>
            </w:pPr>
            <w:r>
              <w:t xml:space="preserve">-0.31 ( 0.69 - 1.54 )</w:t>
            </w:r>
          </w:p>
        </w:tc>
        <w:tc>
          <w:p>
            <w:pPr>
              <w:pStyle w:val="Compact"/>
              <w:jc w:val="left"/>
            </w:pPr>
            <w:r>
              <w:t xml:space="preserve">-6.09 ( 0.69 - -3.78 )</w:t>
            </w:r>
          </w:p>
        </w:tc>
        <w:tc>
          <w:p>
            <w:pPr>
              <w:pStyle w:val="Compact"/>
              <w:jc w:val="left"/>
            </w:pPr>
            <w:r>
              <w:t xml:space="preserve">-3.18 ( 0.69 - -0.48 )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1.23 ( -0.61 - 2.74 )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-1.23 ( -2.74 - 0.61 )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-9.03 ( -9.29 - -8.25 )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9.03 ( 8.25 - 9.29 )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7.08 ( 6.46 - 7.87 )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-7.08 ( -7.87 - -6.46 )</w:t>
            </w:r>
          </w:p>
        </w:tc>
      </w:tr>
    </w:tbl>
    <w:bookmarkEnd w:id="43"/>
    <w:bookmarkEnd w:id="44"/>
    <w:bookmarkStart w:id="48" w:name="discussion"/>
    <w:p>
      <w:pPr>
        <w:pStyle w:val="Heading1"/>
      </w:pPr>
      <w:r>
        <w:t xml:space="preserve">Discussion</w:t>
      </w:r>
    </w:p>
    <w:p>
      <w:pPr>
        <w:pStyle w:val="FirstParagraph"/>
      </w:pPr>
      <w:r>
        <w:t xml:space="preserve">The purpose of this study was to assess the frequency of OFI for different clinical subgroups and to investigate in what trauma subgroups OFI is most frequent.</w:t>
      </w:r>
    </w:p>
    <w:p>
      <w:pPr>
        <w:pStyle w:val="BodyText"/>
      </w:pPr>
      <w:r>
        <w:t xml:space="preserve">It was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men and women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surprising. To the best of our knowledge there is no existing research indicating that abdominal trauma has ha higher frequency of OFI, mortality or preventable death. I can only speculate why this is. For example, one reason could be that those admitted to a level one trauma center with the primary injury located in the abdomen has suffered from a more extensive trauma then the other subgroups. Perhaps an abdominal trauma ist always as obvious in the primary pre hospital examinations examinations and in the trauma room as the average head trauma for example. It can however be established that there is a statistically significant higher OFI frequency in this subgroup compared with the other body regions.</w:t>
      </w:r>
    </w:p>
    <w:p>
      <w:pPr>
        <w:pStyle w:val="BodyText"/>
      </w:pPr>
      <w:r>
        <w:t xml:space="preserve">A higher OFI frequency in major trauma compared with minor trauma is consistent with previous research. The mortality has been found to be higher in Major trauma cohort than in Minor trauma.</w:t>
      </w:r>
      <w:r>
        <w:t xml:space="preserve"> </w:t>
      </w:r>
      <w:r>
        <w:t xml:space="preserve">(6)</w:t>
      </w:r>
      <w:r>
        <w:t xml:space="preserve"> </w:t>
      </w:r>
      <w:r>
        <w:t xml:space="preserve">(fler källor på detta). That major and complex trauma has ha greater risk for non optimal trauma care was also consistent with the median NISS score results, as the median NISS was higher in the OFI cohort then in the non ofi cohort. What can be seen from previous studies is that there is a correlation between NISS and Preventable death(källa, Jonatan som sa detta men hittar ingen källa).</w:t>
      </w:r>
    </w:p>
    <w:p>
      <w:pPr>
        <w:pStyle w:val="BodyText"/>
      </w:pPr>
      <w:r>
        <w:t xml:space="preserve">But it is not those with the highest niss scores who has the highest frequency of preventable deaths. Instead it is the patients with a NISS between 30-50.(källa, Jonatan som sa detta men hittar ingen källa) One explanation for this could be that those patients are not injured enough for it to be obvious that all resources possible should be used to treat the patient. Those with the highest NISS scores are on the other hand so severely injured that everything possible is done to treat them. If those patients die, it is less likely that is was preventable, since everything that could be done in terms of treatment was done. In this this study however a binary outcome measure was used by either classifying a trauma as minor or major. Because of that spread of NISS among OFI patients will not be as nuanced as it could have been.</w:t>
      </w:r>
    </w:p>
    <w:p>
      <w:pPr>
        <w:pStyle w:val="BodyText"/>
      </w:pPr>
      <w:r>
        <w:t xml:space="preserve">Both data from SWETRAU and previous studies show that men are over represented in trauma patients.[</w:t>
      </w:r>
      <w:r>
        <w:t xml:space="preserve">(24)</w:t>
      </w:r>
      <w:r>
        <w:t xml:space="preserve">, [4]] Even though men in this study had a higher OFI frequency then women, the difference was not statisticly significant. There is however previous research showing that men have a higher frequency of trauma mortality. Bolandparvaz et al fond that males had a higher risk for trauma mortality[5]. Pape et al showed that females were less likely to die after trauma [7]. Davoodabadi et al. found that there was no difference between the genders in preventable deaths after trauma [6]. One explanation for these differences could be that men and women suffer from different kinds of trauma. For example the majority of penetraiting trauma patients are men.</w:t>
      </w:r>
    </w:p>
    <w:p>
      <w:pPr>
        <w:pStyle w:val="BodyText"/>
      </w:pPr>
      <w:r>
        <w:t xml:space="preserve">The study also shows a higher mean age in the OFI chort than in the non OFI cohort. Meaning that the older the patient is the higher is the risk for non optimal trauma care. Previous reesearch has shown an in increased mortality rate in older patients, wich potentially in part could be explained by sub optimal trauma care. Adams et al. found that an increasingly higher risk for mortality in trauma patients over 45 years old[1]. Ottochian et al found that the mortality risk from penetrating trauma increased significantly after the age of 65 [2].</w:t>
      </w:r>
    </w:p>
    <w:bookmarkStart w:id="45"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and trauma subgroups. Another strength is that all programming and calculations was first done on scrambled data to minimize the risk for bias.</w:t>
      </w:r>
    </w:p>
    <w:p>
      <w:pPr>
        <w:pStyle w:val="BodyText"/>
      </w:pPr>
      <w:r>
        <w:t xml:space="preserve">One of the limitations in the study is the time frame. Data has been used that was collected from 2011 to 2021. It is likely that some trauma cases that had OFI back in 2011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2011.</w:t>
      </w:r>
    </w:p>
    <w:p>
      <w:pPr>
        <w:pStyle w:val="BodyText"/>
      </w:pPr>
      <w:r>
        <w:t xml:space="preserve">Furthermore this is a single-site study, making it harder to draw general conclusions from the results. As the total number of patients is relatively small, the size of some of the more uncommon trauma cohorts are very small, which is something one must keep in mind when studying the results. Since this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p>
      <w:pPr>
        <w:pStyle w:val="BodyText"/>
      </w:pPr>
      <w:r>
        <w:t xml:space="preserve">As the outcome measure OFI is not a</w:t>
      </w:r>
    </w:p>
    <w:bookmarkEnd w:id="45"/>
    <w:bookmarkStart w:id="46" w:name="clinicalpractical-applications"/>
    <w:p>
      <w:pPr>
        <w:pStyle w:val="Heading2"/>
      </w:pPr>
      <w:r>
        <w:t xml:space="preserve">Clinical/Practical applications</w:t>
      </w:r>
    </w:p>
    <w:p>
      <w:pPr>
        <w:pStyle w:val="FirstParagraph"/>
      </w:pPr>
      <w:r>
        <w:t xml:space="preserve">Awereeness aout which subgroup has high ofi. More carefull in the care of abdominal trauma for example.</w:t>
      </w:r>
    </w:p>
    <w:p>
      <w:pPr>
        <w:pStyle w:val="BodyText"/>
      </w:pPr>
      <w:r>
        <w:t xml:space="preserve">evaluate audit filters.</w:t>
      </w:r>
      <w:r>
        <w:t xml:space="preserve"> </w:t>
      </w:r>
      <w:r>
        <w:t xml:space="preserve">(focus future ofi reserarch on the subgroups with highest frequency.)</w:t>
      </w:r>
    </w:p>
    <w:bookmarkEnd w:id="46"/>
    <w:bookmarkStart w:id="47" w:name="future-studies"/>
    <w:p>
      <w:pPr>
        <w:pStyle w:val="Heading2"/>
      </w:pPr>
      <w:r>
        <w:t xml:space="preserve">Future studies</w:t>
      </w:r>
    </w:p>
    <w:p>
      <w:pPr>
        <w:pStyle w:val="FirstParagraph"/>
      </w:pPr>
      <w:r>
        <w:t xml:space="preserve">By knowing which trauma subgroups that has the highest OFI it is possible to focus further reesearch on theese subgroups. The result of this study could lead to an overview of the audit filters of the highest OFI.</w:t>
      </w:r>
    </w:p>
    <w:p>
      <w:pPr>
        <w:pStyle w:val="BodyText"/>
      </w:pPr>
      <w:r>
        <w:t xml:space="preserve">It would be interesting do do a multi-center study to see if there is differences between county and city or between trauma center and non trauma center.</w:t>
      </w:r>
    </w:p>
    <w:p>
      <w:pPr>
        <w:pStyle w:val="BodyText"/>
      </w:pPr>
      <w:r>
        <w:t xml:space="preserve">It would be interesting to to investigate the face that the male cohort had more OFI. One possiblbity is that male might be overrepresenrted in major trauma and by that has more complex and severe injuries. But that not shown in this study.</w:t>
      </w:r>
    </w:p>
    <w:bookmarkEnd w:id="47"/>
    <w:bookmarkEnd w:id="48"/>
    <w:bookmarkStart w:id="49" w:name="equality"/>
    <w:p>
      <w:pPr>
        <w:pStyle w:val="Heading1"/>
      </w:pPr>
      <w:r>
        <w:t xml:space="preserve">Equality</w:t>
      </w:r>
    </w:p>
    <w:p>
      <w:pPr>
        <w:pStyle w:val="FirstParagraph"/>
      </w:pPr>
      <w:r>
        <w:t xml:space="preserve">ta upp gur det ser ut i inden tex</w:t>
      </w:r>
      <w:r>
        <w:t xml:space="preserve"> </w:t>
      </w:r>
      <w:r>
        <w:t xml:space="preserve">Conclusion</w:t>
      </w:r>
      <w:r>
        <w:t xml:space="preserve"> </w:t>
      </w:r>
      <w:r>
        <w:t xml:space="preserve">=====</w:t>
      </w:r>
    </w:p>
    <w:bookmarkEnd w:id="49"/>
    <w:bookmarkStart w:id="50"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50"/>
    <w:bookmarkStart w:id="89" w:name="references"/>
    <w:p>
      <w:pPr>
        <w:pStyle w:val="Heading1"/>
      </w:pPr>
      <w:r>
        <w:t xml:space="preserve">References</w:t>
      </w:r>
    </w:p>
    <w:bookmarkStart w:id="88"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70" w:name="ref-swetrau"/>
    <w:p>
      <w:pPr>
        <w:pStyle w:val="Bibliography"/>
      </w:pPr>
      <w:r>
        <w:t xml:space="preserve">18.</w:t>
      </w:r>
      <w:r>
        <w:t xml:space="preserve"> </w:t>
      </w:r>
      <w:r>
        <w:t xml:space="preserve">	</w:t>
      </w:r>
      <w:r>
        <w:t xml:space="preserve">Svenska traumaregistret (SweTrau). THE SWEDISH TRAUMA REGISTRY (SWETRAU). [cited 2022 Sep 23]; Available from:</w:t>
      </w:r>
      <w:r>
        <w:t xml:space="preserve"> </w:t>
      </w:r>
      <w:hyperlink r:id="rId69">
        <w:r>
          <w:rPr>
            <w:rStyle w:val="Hyperlink"/>
          </w:rPr>
          <w:t xml:space="preserve">https://rcsyd.se/swetrau/om-swetrau/about-swetrau-in-english/swetrau-the-swedish-trauma-registry</w:t>
        </w:r>
      </w:hyperlink>
    </w:p>
    <w:bookmarkEnd w:id="70"/>
    <w:bookmarkStart w:id="71" w:name="ref-Sanddal2011-cl"/>
    <w:p>
      <w:pPr>
        <w:pStyle w:val="Bibliography"/>
      </w:pPr>
      <w:r>
        <w:t xml:space="preserve">19.</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71"/>
    <w:bookmarkStart w:id="73" w:name="ref-OReilly2013"/>
    <w:p>
      <w:pPr>
        <w:pStyle w:val="Bibliography"/>
      </w:pPr>
      <w:r>
        <w:t xml:space="preserve">20.</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2">
        <w:r>
          <w:rPr>
            <w:rStyle w:val="Hyperlink"/>
          </w:rPr>
          <w:t xml:space="preserve">http://dx.doi.org/10.1002/bjs.9096</w:t>
        </w:r>
      </w:hyperlink>
    </w:p>
    <w:bookmarkEnd w:id="73"/>
    <w:bookmarkStart w:id="75" w:name="ref-Traumaguidelines09"/>
    <w:p>
      <w:pPr>
        <w:pStyle w:val="Bibliography"/>
      </w:pPr>
      <w:r>
        <w:t xml:space="preserve">21.</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4">
        <w:r>
          <w:rPr>
            <w:rStyle w:val="Hyperlink"/>
          </w:rPr>
          <w:t xml:space="preserve">https://apps.who.int/iris/bitstream/handle/10665/44061/9789241597746_eng.pdf?sequence=1&amp;isAllowed=y</w:t>
        </w:r>
      </w:hyperlink>
    </w:p>
    <w:bookmarkEnd w:id="75"/>
    <w:bookmarkStart w:id="76" w:name="ref-Montmany2016-hz"/>
    <w:p>
      <w:pPr>
        <w:pStyle w:val="Bibliography"/>
      </w:pPr>
      <w:r>
        <w:t xml:space="preserve">22.</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6"/>
    <w:bookmarkStart w:id="77" w:name="ref-Coats2020-wj"/>
    <w:p>
      <w:pPr>
        <w:pStyle w:val="Bibliography"/>
      </w:pPr>
      <w:r>
        <w:t xml:space="preserve">23.</w:t>
      </w:r>
      <w:r>
        <w:t xml:space="preserve"> </w:t>
      </w:r>
      <w:r>
        <w:t xml:space="preserve">	</w:t>
      </w:r>
      <w:r>
        <w:t xml:space="preserve">Coats T. Blunt major trauma: Now two different diseases? Br J Hosp Med (Lond). 2020 Apr;81(4):1–3.</w:t>
      </w:r>
      <w:r>
        <w:t xml:space="preserve"> </w:t>
      </w:r>
    </w:p>
    <w:bookmarkEnd w:id="77"/>
    <w:bookmarkStart w:id="79" w:name="ref-arsrapportswetrau"/>
    <w:p>
      <w:pPr>
        <w:pStyle w:val="Bibliography"/>
      </w:pPr>
      <w:r>
        <w:t xml:space="preserve">24.</w:t>
      </w:r>
      <w:r>
        <w:t xml:space="preserve"> </w:t>
      </w:r>
      <w:r>
        <w:t xml:space="preserve">	</w:t>
      </w:r>
      <w:r>
        <w:t xml:space="preserve">Svenska traumaregistret (SweTrau). Årsrapport 2021. [cited 2022 Sep 23]; Available from:</w:t>
      </w:r>
      <w:r>
        <w:t xml:space="preserve"> </w:t>
      </w:r>
      <w:hyperlink r:id="rId78">
        <w:r>
          <w:rPr>
            <w:rStyle w:val="Hyperlink"/>
          </w:rPr>
          <w:t xml:space="preserve">https://rcsyd.se/swetrau/om-swetrau/arsrapporter</w:t>
        </w:r>
      </w:hyperlink>
    </w:p>
    <w:bookmarkEnd w:id="79"/>
    <w:bookmarkStart w:id="81"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0">
        <w:r>
          <w:rPr>
            <w:rStyle w:val="Hyperlink"/>
          </w:rPr>
          <w:t xml:space="preserve">https://news.cision.com/karolinska-universitetssjukhuset/r/karolinska-university-hospital-is-the-eighth-best-hospital-in-the-world,c3517653</w:t>
        </w:r>
      </w:hyperlink>
    </w:p>
    <w:bookmarkEnd w:id="81"/>
    <w:bookmarkStart w:id="83"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2">
        <w:r>
          <w:rPr>
            <w:rStyle w:val="Hyperlink"/>
          </w:rPr>
          <w:t xml:space="preserve">https://www.karolinska.se/for-vardgivare/tema-akut-och-reparativ-medicin/trauma-akutkirurgi-och-ortopedi/traumacentrum/</w:t>
        </w:r>
      </w:hyperlink>
    </w:p>
    <w:bookmarkEnd w:id="83"/>
    <w:bookmarkStart w:id="84"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4"/>
    <w:bookmarkStart w:id="85"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5"/>
    <w:bookmarkStart w:id="87"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6">
        <w:r>
          <w:rPr>
            <w:rStyle w:val="Hyperlink"/>
          </w:rPr>
          <w:t xml:space="preserve">https://www.R-project.org/</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2022-12-07T12:59:51Z</dcterms:created>
  <dcterms:modified xsi:type="dcterms:W3CDTF">2022-12-07T12:59:51Z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