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8" w:name="background"/>
    <w:p>
      <w:pPr>
        <w:pStyle w:val="Heading1"/>
      </w:pPr>
      <w:r>
        <w:t xml:space="preserve">Background</w:t>
      </w:r>
    </w:p>
    <w:p>
      <w:pPr>
        <w:pStyle w:val="FirstParagraph"/>
      </w:pPr>
      <w:r>
        <w:t xml:space="preserve">Trauma is defined as the clinical entity composed of physical injury and the body’s associated response, as trauma represents about 9 % of annual global death it is one of the leading causes of mortality and morbidity in the world.</w:t>
      </w:r>
      <w:r>
        <w:t xml:space="preserve">(2)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rather than a non-trauma center had a 41 % lower 30-day adjusted mortality rate</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in a study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0" w:name="trauma-quality-improvement"/>
    <w:p>
      <w:pPr>
        <w:pStyle w:val="Heading2"/>
      </w:pPr>
      <w:r>
        <w:t xml:space="preserve">Trauma quality improvement</w:t>
      </w:r>
    </w:p>
    <w:p>
      <w:pPr>
        <w:pStyle w:val="FirstParagraph"/>
      </w:pPr>
      <w:r>
        <w:t xml:space="preserve">Health care quality has been a topic for research for over 100 years. However, in the earlier research the focus were mainly standards of performance connected to the skill levels of individual physicians. Meaning that when faults were made, answers were sought for in individuals rather than in the system.</w:t>
      </w:r>
      <w:r>
        <w:t xml:space="preserve">(8)</w:t>
      </w:r>
    </w:p>
    <w:p>
      <w:pPr>
        <w:pStyle w:val="BodyText"/>
      </w:pPr>
      <w:r>
        <w:t xml:space="preserve">In the 1980s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systems role rather than clinical performances, as systems are more comparable to outcomes.</w:t>
      </w:r>
      <w:r>
        <w:t xml:space="preserve">(8)</w:t>
      </w:r>
    </w:p>
    <w:p>
      <w:pPr>
        <w:pStyle w:val="BodyText"/>
      </w:pPr>
      <w:r>
        <w:t xml:space="preserve">In the past decades several trauma quality improvement programs have been created. One of the more established ones is the Trauma Quality Improvement Program (TQIP) by the American College of Surgeons that was launched in 2008</w:t>
      </w:r>
      <w:r>
        <w:t xml:space="preserve"> </w:t>
      </w:r>
      <w:r>
        <w:t xml:space="preserve">(9)</w:t>
      </w:r>
      <w:r>
        <w:t xml:space="preserve">. The TQIP provides site-specific data of how well each hospital is preforming in terms of trauma care. This makes it possible to compare data with same level hospitals as well as evaluating how well each hospital is preforming, leading to changes in routines and practice guidelines</w:t>
      </w:r>
      <w:r>
        <w:t xml:space="preserve"> </w:t>
      </w:r>
      <w:r>
        <w:t xml:space="preserve">(10)</w:t>
      </w:r>
      <w:r>
        <w:t xml:space="preserve">.</w:t>
      </w:r>
    </w:p>
    <w:bookmarkEnd w:id="20"/>
    <w:bookmarkStart w:id="21"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a certain event differ from the guidelines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1"/>
    <w:bookmarkStart w:id="22"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score a patient gets is based on the AIS points from the injured body regions. The higher ISS score the more serious injury the patients suffers from. The ISS does however only take into account the most severe injury in each region, meaning that you could have two different injuries in the abdomen without it affecting the ISS score.</w:t>
      </w:r>
      <w:r>
        <w:t xml:space="preserve">(15)</w:t>
      </w:r>
    </w:p>
    <w:p>
      <w:pPr>
        <w:pStyle w:val="BodyText"/>
      </w:pPr>
      <w:r>
        <w:t xml:space="preserve">The New Injury Severity Score (NISS) is developed from the ISS. NISS also takes injuries from the same body regions as NISS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2"/>
    <w:bookmarkStart w:id="23" w:name="trauma-registry"/>
    <w:p>
      <w:pPr>
        <w:pStyle w:val="Heading2"/>
      </w:pPr>
      <w:r>
        <w:t xml:space="preserve">Trauma registry</w:t>
      </w:r>
    </w:p>
    <w:p>
      <w:pPr>
        <w:pStyle w:val="FirstParagraph"/>
      </w:pPr>
      <w:r>
        <w:t xml:space="preserve">In Sweden there is a national trauma registry (SweTrau) holding records of trauma cases from 48 out of 49 hospitals who receives major trauma. To meet the inclusions criteria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(18)</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the best practice guidelines in at least one aspect. Whether there is opportunity for improvement for a specific case or not is decided during M&amp;M where selected trauma cases are reviewed. Examples of OFI could be too long transportation time to the hospital from the site of injury, insufficient vital signs documentation at the emergency department or missing trauma surgeon/consultant.</w:t>
      </w:r>
      <w:r>
        <w:t xml:space="preserve">(19)</w:t>
      </w:r>
    </w:p>
    <w:p>
      <w:pPr>
        <w:pStyle w:val="BodyText"/>
      </w:pPr>
      <w:r>
        <w:t xml:space="preserve">The most common cause of death after injury is hemorrhage. Among these patients, problem in decision making, technical skills and making decisions between surgery and radiology were some of the areas were OFIs were found.</w:t>
      </w:r>
      <w:r>
        <w:t xml:space="preserve">(20)</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(21)</w:t>
      </w:r>
      <w:r>
        <w:t xml:space="preserve">. Furthermore there is no consensus for classification of preventable and non preventable death, leading authors to use different classifications</w:t>
      </w:r>
      <w:r>
        <w:t xml:space="preserve"> </w:t>
      </w:r>
      <w:r>
        <w:t xml:space="preserve">(22)</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(19)</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OFIs for different trauma subgroups.</w:t>
      </w:r>
      <w:r>
        <w:t xml:space="preserve">(23)</w:t>
      </w:r>
      <w:r>
        <w:t xml:space="preserve">. Some examples of subgroups are men and women, blunt and penetrating trauma, geriatric, major and minor trauma and traumatic brain injury</w:t>
      </w:r>
      <w:r>
        <w:t xml:space="preserve"> </w:t>
      </w:r>
      <w:r>
        <w:t xml:space="preserve">(24)</w:t>
      </w:r>
      <w:r>
        <w:t xml:space="preserve">.</w:t>
      </w:r>
    </w:p>
    <w:p>
      <w:pPr>
        <w:pStyle w:val="BodyText"/>
      </w:pPr>
      <w:r>
        <w:t xml:space="preserve">In Sweden, 50% of trauma cases are traffic related and 33% are fall traumas. Blunt trauma, such as traffic accidents, fall trauma, and hit by blunt object, represents 90 % of all trauma cases</w:t>
      </w:r>
      <w:r>
        <w:t xml:space="preserve"> </w:t>
      </w:r>
      <w:r>
        <w:t xml:space="preserve">(24)</w:t>
      </w:r>
      <w:r>
        <w:t xml:space="preserve">.</w:t>
      </w:r>
    </w:p>
    <w:p>
      <w:pPr>
        <w:pStyle w:val="BodyText"/>
      </w:pPr>
      <w:r>
        <w:t xml:space="preserve">Trauma patterns differ between subgroups. 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(24)</w:t>
      </w:r>
      <w:r>
        <w:t xml:space="preserve">. As trauma patterns differs, it is also possible that OFI frequency differs between subgroups.</w:t>
      </w:r>
    </w:p>
    <w:bookmarkEnd w:id="25"/>
    <w:bookmarkStart w:id="26"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(24)</w:t>
      </w:r>
      <w:r>
        <w:t xml:space="preserve"> </w:t>
      </w:r>
      <w:r>
        <w:t xml:space="preserve">But despite having all this data in the trauma registers, knowledge regarding OFI patterns among different trauma subgroups remains unknown.</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most severely injured body region.</w:t>
      </w:r>
    </w:p>
    <w:bookmarkEnd w:id="27"/>
    <w:bookmarkEnd w:id="28"/>
    <w:bookmarkStart w:id="38" w:name="methods"/>
    <w:p>
      <w:pPr>
        <w:pStyle w:val="Heading1"/>
      </w:pPr>
      <w:r>
        <w:t xml:space="preserve">Methods</w:t>
      </w:r>
    </w:p>
    <w:bookmarkStart w:id="29" w:name="study-design"/>
    <w:p>
      <w:pPr>
        <w:pStyle w:val="Heading2"/>
      </w:pPr>
      <w:r>
        <w:t xml:space="preserve">Study design</w:t>
      </w:r>
    </w:p>
    <w:p>
      <w:pPr>
        <w:pStyle w:val="FirstParagraph"/>
      </w:pPr>
      <w:r>
        <w:t xml:space="preserve">This is a registry based cohort study that uses data from two different Swedish</w:t>
      </w:r>
      <w:r>
        <w:t xml:space="preserve"> </w:t>
      </w:r>
      <w:r>
        <w:t xml:space="preserve">trauma registries. The first registry is the trauma registry at the Karolinska University Hospital</w:t>
      </w:r>
      <w:r>
        <w:t xml:space="preserve"> </w:t>
      </w:r>
      <w:r>
        <w:t xml:space="preserve">in Solna. It is a part of SweTrau and contains patients from the years 2012 to 2021.</w:t>
      </w:r>
      <w:r>
        <w:t xml:space="preserve"> </w:t>
      </w:r>
      <w:r>
        <w:t xml:space="preserve">The second registry is the the trauma care quality database which is a subset of the Karolinska University Hospital Trauma Registry</w:t>
      </w:r>
      <w:r>
        <w:t xml:space="preserve">. It</w:t>
      </w:r>
      <w:r>
        <w:t xml:space="preserve"> </w:t>
      </w:r>
      <w:r>
        <w:t xml:space="preserve">includes patients selected for review between 2014 and 2021. These registries were merged and a complete case analysis was done. Scrambled data was used to decrease the risk for bias. The results were presented in tables showing the frequency of OFI for the different subgroups. Deltavalues for OFI frequency between subgroups was calculated. Bootstrapping was then preformed to estimate the confidence interval for the delta values aswell as the confdence intervall for each OFI frequency.</w:t>
      </w:r>
    </w:p>
    <w:bookmarkEnd w:id="29"/>
    <w:bookmarkStart w:id="31"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(25)</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To the trauma team at Karolinska Solna only those who are classified as a priority one by the pre hospital professionals are admitted.</w:t>
      </w:r>
      <w:r>
        <w:t xml:space="preserve"> </w:t>
      </w:r>
      <w:r>
        <w:t xml:space="preserve">(28)</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p>
      <w:pPr>
        <w:pStyle w:val="BodyText"/>
      </w:pPr>
      <w:r>
        <w:t xml:space="preserve">Audit filters and for some cases, maual selection was used to determine which cases that should be reviewed at M&amp;M. Some examples of audit filters that were used are GCS 8 or less but the patient was not intubated, time to CT longer than 20 minutes and time to Surgery. A manual selection was done by one or two nurses, during which some cases are removed from the group of potential OFI cases because obvious reasons for the deviation from best practice guidelines can be found.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r>
        <w:t xml:space="preserve"> </w:t>
      </w:r>
      <w:r>
        <w:drawing>
          <wp:inline>
            <wp:extent cx="3810000" cy="2523564"/>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0"/>
                    <a:stretch>
                      <a:fillRect/>
                    </a:stretch>
                  </pic:blipFill>
                  <pic:spPr bwMode="auto">
                    <a:xfrm>
                      <a:off x="0" y="0"/>
                      <a:ext cx="3810000" cy="2523564"/>
                    </a:xfrm>
                    <a:prstGeom prst="rect">
                      <a:avLst/>
                    </a:prstGeom>
                    <a:noFill/>
                    <a:ln w="9525">
                      <a:noFill/>
                      <a:headEnd/>
                      <a:tailEnd/>
                    </a:ln>
                  </pic:spPr>
                </pic:pic>
              </a:graphicData>
            </a:graphic>
          </wp:inline>
        </w:drawing>
      </w:r>
    </w:p>
    <w:bookmarkEnd w:id="31"/>
    <w:bookmarkStart w:id="32"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or AIS code the patient was excluded.</w:t>
      </w:r>
    </w:p>
    <w:bookmarkEnd w:id="32"/>
    <w:bookmarkStart w:id="33" w:name="variables-and-data-sourcesmeasurements"/>
    <w:p>
      <w:pPr>
        <w:pStyle w:val="Heading2"/>
      </w:pPr>
      <w:r>
        <w:t xml:space="preserve">Variables and data sources/measurements</w:t>
      </w:r>
    </w:p>
    <w:p>
      <w:pPr>
        <w:pStyle w:val="FirstParagraph"/>
      </w:pPr>
      <w:r>
        <w:t xml:space="preserve">The data from the trauma registries were analyzed for OFI in separate cohorts. The cohorts were: men and women, blunt and penetrating injuries, minor and major trauma and most severely injured body region. The injured body regions was analysed based on AIS codes and these codes were used to group patients into appropriate cohorts.</w:t>
      </w:r>
    </w:p>
    <w:p>
      <w:pPr>
        <w:pStyle w:val="BodyText"/>
      </w:pPr>
      <w:r>
        <w:t xml:space="preserve">The cohort for most severely injured region was created by assigning the most severely injured body region based on AIS codes to every different patient. For patients who had two or more different injuries and thereby multple AIS codes, the most severe injury was selected.</w:t>
      </w:r>
    </w:p>
    <w:p>
      <w:pPr>
        <w:pStyle w:val="BodyText"/>
      </w:pPr>
      <w:r>
        <w:t xml:space="preserve">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p>
      <w:pPr>
        <w:pStyle w:val="BodyText"/>
      </w:pPr>
      <w:r>
        <w:t xml:space="preserve">To group patients with minor versus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bookmarkEnd w:id="33"/>
    <w:bookmarkStart w:id="34" w:name="bias"/>
    <w:p>
      <w:pPr>
        <w:pStyle w:val="Heading2"/>
      </w:pPr>
      <w:r>
        <w:t xml:space="preserve">Bias</w:t>
      </w:r>
    </w:p>
    <w:p>
      <w:pPr>
        <w:pStyle w:val="FirstParagraph"/>
      </w:pPr>
      <w:r>
        <w:t xml:space="preserve">To prevent research bias all data will be scrambled while used to write the analysis model. Meaning that the real data was not available throughout the process of writing the introduction or method. The scrambled data was also used for creating functions that later could be used on the real data in the final step to get the true results. However all results were first calculated using the scrambled data.</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p>
    <w:p>
      <w:pPr>
        <w:pStyle w:val="FirstParagraph"/>
      </w:pPr>
      <w:r>
        <w:t xml:space="preserve">The registers hold both categorical and continuous variables. NISS, age and AIS codes were treated as continuous variables. Penetrating/blunt trauma, minor/major trauma and OFI was treated as binary categorical variables. Most severely injured body region was treated as categorical variabel.</w:t>
      </w:r>
    </w:p>
    <w:p>
      <w:pPr>
        <w:pStyle w:val="BodyText"/>
      </w:pPr>
      <w:r>
        <w:t xml:space="preserve">The range of NISS was 1-75, representing the number of AIS points for each patient. Penetraiting/blunt Trauma had the values of 1 and 2. 1 represented Blunt trauma and 2 penetraiting trauma. Minor/Major was derived from the NISS value. NISS&gt;15 was considered a Major Trauma and &lt;15 a Minor Trauma. OFI had the values of either YES or NO.</w:t>
      </w:r>
    </w:p>
    <w:p>
      <w:pPr>
        <w:pStyle w:val="BodyText"/>
      </w:pPr>
      <w:r>
        <w:t xml:space="preserve">Trauma Mechanism had a value that ranged from 1-13. Each number was represented by the following trauma mechanism. 1 -</w:t>
      </w:r>
      <w:r>
        <w:t xml:space="preserve"> </w:t>
      </w:r>
      <w:r>
        <w:t xml:space="preserve">“</w:t>
      </w:r>
      <w:r>
        <w:t xml:space="preserve">Trauma mechanism Traffic - motor veichle accident, not motorcycle.</w:t>
      </w:r>
      <w:r>
        <w:t xml:space="preserve">”</w:t>
      </w:r>
      <w:r>
        <w:t xml:space="preserve"> </w:t>
      </w:r>
      <w:r>
        <w:t xml:space="preserve">2 -</w:t>
      </w:r>
      <w:r>
        <w:t xml:space="preserve"> </w:t>
      </w:r>
      <w:r>
        <w:t xml:space="preserve">“</w:t>
      </w:r>
      <w:r>
        <w:t xml:space="preserve">Traffic - motorcycle accident.</w:t>
      </w:r>
      <w:r>
        <w:t xml:space="preserve">”</w:t>
      </w:r>
      <w:r>
        <w:t xml:space="preserve"> </w:t>
      </w:r>
      <w:r>
        <w:t xml:space="preserve">3 -</w:t>
      </w:r>
      <w:r>
        <w:t xml:space="preserve"> </w:t>
      </w:r>
      <w:r>
        <w:t xml:space="preserve">“</w:t>
      </w:r>
      <w:r>
        <w:t xml:space="preserve">Traffic - bicycle accident.</w:t>
      </w:r>
      <w:r>
        <w:t xml:space="preserve">”</w:t>
      </w:r>
      <w:r>
        <w:t xml:space="preserve"> </w:t>
      </w:r>
      <w:r>
        <w:t xml:space="preserve">4 -</w:t>
      </w:r>
      <w:r>
        <w:t xml:space="preserve">“</w:t>
      </w:r>
      <w:r>
        <w:t xml:space="preserve">Traffic - pedastrian.</w:t>
      </w:r>
      <w:r>
        <w:t xml:space="preserve">”</w:t>
      </w:r>
      <w:r>
        <w:t xml:space="preserve"> </w:t>
      </w:r>
      <w:r>
        <w:t xml:space="preserve">5 -</w:t>
      </w:r>
      <w:r>
        <w:t xml:space="preserve"> </w:t>
      </w:r>
      <w:r>
        <w:t xml:space="preserve">“</w:t>
      </w:r>
      <w:r>
        <w:t xml:space="preserve">Traffic - other.</w:t>
      </w:r>
      <w:r>
        <w:t xml:space="preserve">”</w:t>
      </w:r>
      <w:r>
        <w:t xml:space="preserve"> </w:t>
      </w:r>
      <w:r>
        <w:t xml:space="preserve">6 -</w:t>
      </w:r>
      <w:r>
        <w:t xml:space="preserve">“</w:t>
      </w:r>
      <w:r>
        <w:t xml:space="preserve">Shot by handgun, shotgun, rifle, other firearm of any calibre.</w:t>
      </w:r>
      <w:r>
        <w:t xml:space="preserve">”</w:t>
      </w:r>
      <w:r>
        <w:t xml:space="preserve"> </w:t>
      </w:r>
      <w:r>
        <w:t xml:space="preserve">7 -</w:t>
      </w:r>
      <w:r>
        <w:t xml:space="preserve"> </w:t>
      </w:r>
      <w:r>
        <w:t xml:space="preserve">“</w:t>
      </w:r>
      <w:r>
        <w:t xml:space="preserve">Stabbed by knife, sword, dagger other pointed or sharp object.</w:t>
      </w:r>
      <w:r>
        <w:t xml:space="preserve">”</w:t>
      </w:r>
      <w:r>
        <w:t xml:space="preserve"> </w:t>
      </w:r>
      <w:r>
        <w:t xml:space="preserve">8 -</w:t>
      </w:r>
      <w:r>
        <w:t xml:space="preserve"> </w:t>
      </w:r>
      <w:r>
        <w:t xml:space="preserve">“</w:t>
      </w:r>
      <w:r>
        <w:t xml:space="preserve">Struck or hit by blunt object.</w:t>
      </w:r>
      <w:r>
        <w:t xml:space="preserve">”</w:t>
      </w:r>
      <w:r>
        <w:t xml:space="preserve"> </w:t>
      </w:r>
      <w:r>
        <w:t xml:space="preserve">9 -</w:t>
      </w:r>
      <w:r>
        <w:t xml:space="preserve"> </w:t>
      </w:r>
      <w:r>
        <w:t xml:space="preserve">“</w:t>
      </w:r>
      <w:r>
        <w:t xml:space="preserve">Low energy fall - fall in the same level.</w:t>
      </w:r>
      <w:r>
        <w:t xml:space="preserve">”</w:t>
      </w:r>
      <w:r>
        <w:t xml:space="preserve"> </w:t>
      </w:r>
      <w:r>
        <w:t xml:space="preserve">10 -</w:t>
      </w:r>
      <w:r>
        <w:t xml:space="preserve"> </w:t>
      </w:r>
      <w:r>
        <w:t xml:space="preserve">“</w:t>
      </w:r>
      <w:r>
        <w:t xml:space="preserve">High energy fall - fall from a higher level.</w:t>
      </w:r>
      <w:r>
        <w:t xml:space="preserve">”</w:t>
      </w:r>
      <w:r>
        <w:t xml:space="preserve"> </w:t>
      </w:r>
      <w:r>
        <w:t xml:space="preserve">11 -</w:t>
      </w:r>
      <w:r>
        <w:t xml:space="preserve"> </w:t>
      </w:r>
      <w:r>
        <w:t xml:space="preserve">“</w:t>
      </w:r>
      <w:r>
        <w:t xml:space="preserve">Blast injury.</w:t>
      </w:r>
      <w:r>
        <w:t xml:space="preserve">”</w:t>
      </w:r>
      <w:r>
        <w:t xml:space="preserve"> </w:t>
      </w:r>
      <w:r>
        <w:t xml:space="preserve">12 -</w:t>
      </w:r>
      <w:r>
        <w:t xml:space="preserve"> </w:t>
      </w:r>
      <w:r>
        <w:t xml:space="preserve">“</w:t>
      </w:r>
      <w:r>
        <w:t xml:space="preserve">Other.</w:t>
      </w:r>
      <w:r>
        <w:t xml:space="preserve">”</w:t>
      </w:r>
      <w:r>
        <w:t xml:space="preserve"> </w:t>
      </w:r>
      <w:r>
        <w:t xml:space="preserve">13 -</w:t>
      </w:r>
      <w:r>
        <w:t xml:space="preserve"> </w:t>
      </w:r>
      <w:r>
        <w:t xml:space="preserve">“</w:t>
      </w:r>
      <w:r>
        <w:t xml:space="preserve">Unknown.</w:t>
      </w:r>
      <w:r>
        <w:t xml:space="preserve">”</w:t>
      </w:r>
    </w:p>
    <w:p>
      <w:pPr>
        <w:pStyle w:val="BodyText"/>
      </w:pPr>
      <w:r>
        <w:t xml:space="preserve">The most severe region had 10 different values: head, neck, face, thorax, upper extremity, lower extremity, abdomen, spine, multiple and unspecified. These 10 values were regrouped according to the ISS system as following. 1 -</w:t>
      </w:r>
      <w:r>
        <w:t xml:space="preserve"> </w:t>
      </w:r>
      <w:r>
        <w:t xml:space="preserve">“</w:t>
      </w:r>
      <w:r>
        <w:t xml:space="preserve">Head and neck.</w:t>
      </w:r>
      <w:r>
        <w:t xml:space="preserve">”</w:t>
      </w:r>
      <w:r>
        <w:t xml:space="preserve"> </w:t>
      </w:r>
      <w:r>
        <w:t xml:space="preserve">2 -</w:t>
      </w:r>
      <w:r>
        <w:t xml:space="preserve"> </w:t>
      </w:r>
      <w:r>
        <w:t xml:space="preserve">“</w:t>
      </w:r>
      <w:r>
        <w:t xml:space="preserve">Face.</w:t>
      </w:r>
      <w:r>
        <w:t xml:space="preserve">”</w:t>
      </w:r>
      <w:r>
        <w:t xml:space="preserve"> </w:t>
      </w:r>
      <w:r>
        <w:t xml:space="preserve">3 -</w:t>
      </w:r>
      <w:r>
        <w:t xml:space="preserve"> </w:t>
      </w:r>
      <w:r>
        <w:t xml:space="preserve">“</w:t>
      </w:r>
      <w:r>
        <w:t xml:space="preserve">Chest, diaphragm or spine.</w:t>
      </w:r>
      <w:r>
        <w:t xml:space="preserve">”</w:t>
      </w:r>
      <w:r>
        <w:t xml:space="preserve"> </w:t>
      </w:r>
      <w:r>
        <w:t xml:space="preserve">4 -</w:t>
      </w:r>
      <w:r>
        <w:t xml:space="preserve"> </w:t>
      </w:r>
      <w:r>
        <w:t xml:space="preserve">“</w:t>
      </w:r>
      <w:r>
        <w:t xml:space="preserve">Abdomen.</w:t>
      </w:r>
      <w:r>
        <w:t xml:space="preserve">”</w:t>
      </w:r>
      <w:r>
        <w:t xml:space="preserve"> </w:t>
      </w:r>
      <w:r>
        <w:t xml:space="preserve">5 -</w:t>
      </w:r>
      <w:r>
        <w:t xml:space="preserve"> </w:t>
      </w:r>
      <w:r>
        <w:t xml:space="preserve">“</w:t>
      </w:r>
      <w:r>
        <w:t xml:space="preserve">Extremities.</w:t>
      </w:r>
      <w:r>
        <w:t xml:space="preserve">”</w:t>
      </w:r>
      <w:r>
        <w:t xml:space="preserve"> </w:t>
      </w:r>
      <w:r>
        <w:t xml:space="preserve">6 -</w:t>
      </w:r>
      <w:r>
        <w:t xml:space="preserve"> </w:t>
      </w:r>
      <w:r>
        <w:t xml:space="preserve">“</w:t>
      </w:r>
      <w:r>
        <w:t xml:space="preserve">Unspecified.</w:t>
      </w:r>
      <w:r>
        <w:t xml:space="preserve">”</w:t>
      </w:r>
      <w:r>
        <w:t xml:space="preserve"> </w:t>
      </w:r>
      <w:r>
        <w:t xml:space="preserve">7 -</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 R is a programming language used for statistical computing</w:t>
      </w:r>
      <w:r>
        <w:t xml:space="preserve"> </w:t>
      </w:r>
      <w:r>
        <w:t xml:space="preserve">(29)</w:t>
      </w:r>
      <w:r>
        <w:t xml:space="preserve">. Then all data that was not needed for this study was removed, including columns with non essential information, patients without complete data, and those who did not meet the inclusion criteria. New columns were also added as listed above.</w:t>
      </w:r>
    </w:p>
    <w:p>
      <w:pPr>
        <w:pStyle w:val="BodyText"/>
      </w:pPr>
      <w:r>
        <w:t xml:space="preserve">The frequencies of OFI for each subgroup was calculated by dividing the number of patients which had OFI with the total number of patients in that subgroup.</w:t>
      </w:r>
    </w:p>
    <w:p>
      <w:pPr>
        <w:pStyle w:val="BodyText"/>
      </w:pPr>
      <w:r>
        <w:t xml:space="preserve">The difference (delta value) in OFI frequency between subgroups was calculated, meaning that the difference between men and women was calculated but not for example between women and blunt trauma. Bootstrapping was used to estimate the confidence intervals. 1000 bootstrap samples were drawn with replacement, creating 1000 simulated datasets. The analyses were then repeated in these bootstrap samples and the confidence intervals were estimated both for the OFI frequencies and for the delta values based on their distributions across bootstrap samples.</w:t>
      </w:r>
    </w:p>
    <w:bookmarkEnd w:id="37"/>
    <w:bookmarkEnd w:id="38"/>
    <w:bookmarkStart w:id="44" w:name="results"/>
    <w:p>
      <w:pPr>
        <w:pStyle w:val="Heading1"/>
      </w:pPr>
      <w:r>
        <w:t xml:space="preserve">Results</w:t>
      </w:r>
    </w:p>
    <w:bookmarkStart w:id="40" w:name="participants-1"/>
    <w:p>
      <w:pPr>
        <w:pStyle w:val="Heading2"/>
      </w:pPr>
      <w:r>
        <w:t xml:space="preserve">Participants</w:t>
      </w:r>
    </w:p>
    <w:p>
      <w:pPr>
        <w:pStyle w:val="FirstParagraph"/>
      </w:pPr>
      <w:r>
        <w:t xml:space="preserve">After merging the Karolinska trauma registry and the Trauma quality data base there was 11864 patients. After applying the inclusion criteria the number of patients was reduced to 6158 patients. Each step in the exclusion process is shown in the chart below.</w:t>
      </w:r>
    </w:p>
    <w:p>
      <w:pPr>
        <w:pStyle w:val="BodyText"/>
      </w:pPr>
      <w:r>
        <w:drawing>
          <wp:inline>
            <wp:extent cx="3810000" cy="4456400"/>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39"/>
                    <a:stretch>
                      <a:fillRect/>
                    </a:stretch>
                  </pic:blipFill>
                  <pic:spPr bwMode="auto">
                    <a:xfrm>
                      <a:off x="0" y="0"/>
                      <a:ext cx="3810000" cy="4456400"/>
                    </a:xfrm>
                    <a:prstGeom prst="rect">
                      <a:avLst/>
                    </a:prstGeom>
                    <a:noFill/>
                    <a:ln w="9525">
                      <a:noFill/>
                      <a:headEnd/>
                      <a:tailEnd/>
                    </a:ln>
                  </pic:spPr>
                </pic:pic>
              </a:graphicData>
            </a:graphic>
          </wp:inline>
        </w:drawing>
      </w:r>
    </w:p>
    <w:bookmarkEnd w:id="40"/>
    <w:bookmarkStart w:id="41" w:name="descriptive-data"/>
    <w:p>
      <w:pPr>
        <w:pStyle w:val="Heading2"/>
      </w:pPr>
      <w:r>
        <w:t xml:space="preserve">Descriptive data</w:t>
      </w:r>
    </w:p>
    <w:p>
      <w:pPr>
        <w:pStyle w:val="FirstParagraph"/>
      </w:pPr>
      <w:r>
        <w:t xml:space="preserve">Out of the 6158 patients included in the cohort 4303 (69.88%) were men. The mean age for all the patients were 45 years and the mean NISS score was 16 (SD 16.23). There was 2590 (42.06%) cases of major trauma and the most frequent dominating type of injury was Blunt trauma with 5164 (83.86%) cases. Among the cohort of Most severe region Head trauma was most frequent with a number of 1682 (27.31%) cases. The largest diffrence in number of OFI patients and no OFI patients was found in the xxx cohort.</w:t>
      </w:r>
    </w:p>
    <w:p>
      <w:pPr>
        <w:pStyle w:val="BodyText"/>
      </w:pPr>
      <w:r>
        <w:t xml:space="preserve">Kanske även lägga till andra intressanta skillnader mellan non ofi och ofi när jag fått riktig a datan. Tex om snittåldern för de som har ofi är högre än för de som inte har ofi?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78"/>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(N=5728)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316 (73.5%)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3987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114 (26.5%)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1741 (30.4%)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3455 (60.3%)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317 (73.7%)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2273 (39.7%)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367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4797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931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Most severe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1392 (24.8%)</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(0.699%)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900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(8.63%)</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(5.98%)</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(18.9%)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941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408 (7.26%)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(10.6%)</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bookmarkEnd w:id="41"/>
    <w:bookmarkStart w:id="42" w:name="main-results"/>
    <w:p>
      <w:pPr>
        <w:pStyle w:val="Heading2"/>
      </w:pPr>
      <w:r>
        <w:t xml:space="preserve">Main results</w:t>
      </w:r>
    </w:p>
    <w:p>
      <w:pPr>
        <w:pStyle w:val="FirstParagraph"/>
      </w:pPr>
      <w:r>
        <w:t xml:space="preserve">The subgroup with the highest OFI frequency was xxxx with a frequency at 27.69%. The lowest OFI frequency was measured in the xxx cohort with a frquency at 2.25%. Among the men the frequency of OFI was 7.34% ( 6.59 - 7.96 ) and among the women 6.15% ( 5.06 - 7.22 ). In the entire cohort the mean frequency of OFI was 7%. (minor vs major ) xxxx trauma had a higher OFI frequency then xxxx trauma. In the Most Severe Region subgroup, OFI was most frequent in the xxxx cohort with a frequency of</w:t>
      </w:r>
      <w:r>
        <w:t xml:space="preserve"> </w:t>
      </w:r>
      <w:r>
        <w:rPr>
          <w:rStyle w:val="VerbatimChar"/>
        </w:rPr>
        <w:t xml:space="preserve">highest.mos.ofi</w:t>
      </w:r>
      <w:r>
        <w:t xml:space="preserve">.</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7.34</w:t>
            </w:r>
          </w:p>
        </w:tc>
        <w:tc>
          <w:p>
            <w:pPr>
              <w:pStyle w:val="Compact"/>
              <w:jc w:val="right"/>
            </w:pPr>
            <w:r>
              <w:t xml:space="preserve">( 6.59 - 7.96 )</w:t>
            </w:r>
          </w:p>
        </w:tc>
      </w:tr>
      <w:tr>
        <w:tc>
          <w:p>
            <w:pPr>
              <w:pStyle w:val="Compact"/>
              <w:jc w:val="left"/>
            </w:pPr>
            <w:r>
              <w:t xml:space="preserve">Women</w:t>
            </w:r>
          </w:p>
        </w:tc>
        <w:tc>
          <w:p>
            <w:pPr>
              <w:pStyle w:val="Compact"/>
              <w:jc w:val="center"/>
            </w:pPr>
            <w:r>
              <w:t xml:space="preserve">6.15</w:t>
            </w:r>
          </w:p>
        </w:tc>
        <w:tc>
          <w:p>
            <w:pPr>
              <w:pStyle w:val="Compact"/>
              <w:jc w:val="right"/>
            </w:pPr>
            <w:r>
              <w:t xml:space="preserve">( 5.06 - 7.22 )</w:t>
            </w:r>
          </w:p>
        </w:tc>
      </w:tr>
      <w:tr>
        <w:tc>
          <w:p>
            <w:pPr>
              <w:pStyle w:val="Compact"/>
              <w:jc w:val="left"/>
            </w:pPr>
            <w:r>
              <w:t xml:space="preserve">Blunt Trauma</w:t>
            </w:r>
          </w:p>
        </w:tc>
        <w:tc>
          <w:p>
            <w:pPr>
              <w:pStyle w:val="Compact"/>
              <w:jc w:val="center"/>
            </w:pPr>
            <w:r>
              <w:t xml:space="preserve">3.04</w:t>
            </w:r>
          </w:p>
        </w:tc>
        <w:tc>
          <w:p>
            <w:pPr>
              <w:pStyle w:val="Compact"/>
              <w:jc w:val="right"/>
            </w:pPr>
            <w:r>
              <w:t xml:space="preserve">( -0.08 - 2.55 )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( 4.94 - 7.29 )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( 2.68 - 3.78 )</w:t>
            </w:r>
          </w:p>
        </w:tc>
      </w:tr>
      <w:tr>
        <w:tc>
          <w:p>
            <w:pPr>
              <w:pStyle w:val="Compact"/>
              <w:jc w:val="left"/>
            </w:pPr>
            <w:r>
              <w:t xml:space="preserve">Major Trauma</w:t>
            </w:r>
          </w:p>
        </w:tc>
        <w:tc>
          <w:p>
            <w:pPr>
              <w:pStyle w:val="Compact"/>
              <w:jc w:val="center"/>
            </w:pPr>
            <w:r>
              <w:t xml:space="preserve">12.24</w:t>
            </w:r>
          </w:p>
        </w:tc>
        <w:tc>
          <w:p>
            <w:pPr>
              <w:pStyle w:val="Compact"/>
              <w:jc w:val="right"/>
            </w:pPr>
            <w:r>
              <w:t xml:space="preserve">()</w:t>
            </w:r>
          </w:p>
        </w:tc>
      </w:tr>
      <w:tr>
        <w:tc>
          <w:p>
            <w:pPr>
              <w:pStyle w:val="Compact"/>
              <w:jc w:val="left"/>
            </w:pPr>
            <w:r>
              <w:t xml:space="preserve">MSR - Head or Neck</w:t>
            </w:r>
          </w:p>
        </w:tc>
        <w:tc>
          <w:p>
            <w:pPr>
              <w:pStyle w:val="Compact"/>
              <w:jc w:val="center"/>
            </w:pPr>
            <w:r>
              <w:t xml:space="preserve">7.02</w:t>
            </w:r>
          </w:p>
        </w:tc>
        <w:tc>
          <w:p>
            <w:pPr>
              <w:pStyle w:val="Compact"/>
              <w:jc w:val="right"/>
            </w:pPr>
            <w:r>
              <w:t xml:space="preserve">( 5.83 - 8.25 )</w:t>
            </w:r>
          </w:p>
        </w:tc>
      </w:tr>
      <w:tr>
        <w:tc>
          <w:p>
            <w:pPr>
              <w:pStyle w:val="Compact"/>
              <w:jc w:val="left"/>
            </w:pPr>
            <w:r>
              <w:t xml:space="preserve">MSR - Face</w:t>
            </w:r>
          </w:p>
        </w:tc>
        <w:tc>
          <w:p>
            <w:pPr>
              <w:pStyle w:val="Compact"/>
              <w:jc w:val="center"/>
            </w:pPr>
            <w:r>
              <w:t xml:space="preserve">2.25</w:t>
            </w:r>
          </w:p>
        </w:tc>
        <w:tc>
          <w:p>
            <w:pPr>
              <w:pStyle w:val="Compact"/>
              <w:jc w:val="right"/>
            </w:pPr>
            <w:r>
              <w:t xml:space="preserve">()</w:t>
            </w:r>
          </w:p>
        </w:tc>
      </w:tr>
      <w:tr>
        <w:tc>
          <w:p>
            <w:pPr>
              <w:pStyle w:val="Compact"/>
              <w:jc w:val="left"/>
            </w:pPr>
            <w:r>
              <w:t xml:space="preserve">MSR - Chest, Diaphragm or Spine</w:t>
            </w:r>
          </w:p>
        </w:tc>
        <w:tc>
          <w:p>
            <w:pPr>
              <w:pStyle w:val="Compact"/>
              <w:jc w:val="center"/>
            </w:pPr>
            <w:r>
              <w:t xml:space="preserve">8.7</w:t>
            </w:r>
          </w:p>
        </w:tc>
        <w:tc>
          <w:p>
            <w:pPr>
              <w:pStyle w:val="Compact"/>
              <w:jc w:val="right"/>
            </w:pPr>
            <w:r>
              <w:t xml:space="preserve">( 7.2 - 10.13 )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( 9.18 - 16.07 )</w:t>
            </w:r>
          </w:p>
        </w:tc>
      </w:tr>
      <w:tr>
        <w:tc>
          <w:p>
            <w:pPr>
              <w:pStyle w:val="Compact"/>
              <w:jc w:val="left"/>
            </w:pPr>
            <w:r>
              <w:t xml:space="preserve">MSR - Extremities</w:t>
            </w:r>
          </w:p>
        </w:tc>
        <w:tc>
          <w:p>
            <w:pPr>
              <w:pStyle w:val="Compact"/>
              <w:jc w:val="center"/>
            </w:pPr>
            <w:r>
              <w:t xml:space="preserve">6.71</w:t>
            </w:r>
          </w:p>
        </w:tc>
        <w:tc>
          <w:p>
            <w:pPr>
              <w:pStyle w:val="Compact"/>
              <w:jc w:val="right"/>
            </w:pPr>
            <w:r>
              <w:t xml:space="preserve">( 5.45 - 7.89 )</w:t>
            </w:r>
          </w:p>
        </w:tc>
      </w:tr>
      <w:tr>
        <w:tc>
          <w:p>
            <w:pPr>
              <w:pStyle w:val="Compact"/>
              <w:jc w:val="left"/>
            </w:pPr>
            <w:r>
              <w:t xml:space="preserve">MSR - Unspecified</w:t>
            </w:r>
          </w:p>
        </w:tc>
        <w:tc>
          <w:p>
            <w:pPr>
              <w:pStyle w:val="Compact"/>
              <w:jc w:val="center"/>
            </w:pPr>
            <w:r>
              <w:t xml:space="preserve">0.94</w:t>
            </w:r>
          </w:p>
        </w:tc>
        <w:tc>
          <w:p>
            <w:pPr>
              <w:pStyle w:val="Compact"/>
              <w:jc w:val="right"/>
            </w:pPr>
            <w:r>
              <w:t xml:space="preserve">()</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( 2.23 - 5.35 )</w:t>
            </w:r>
          </w:p>
        </w:tc>
      </w:tr>
    </w:tbl>
    <w:bookmarkEnd w:id="42"/>
    <w:bookmarkStart w:id="43" w:name="delta-values"/>
    <w:p>
      <w:pPr>
        <w:pStyle w:val="Heading2"/>
      </w:pPr>
      <w:r>
        <w:t xml:space="preserve">Delta values</w:t>
      </w:r>
    </w:p>
    <w:p>
      <w:pPr>
        <w:pStyle w:val="FirstParagraph"/>
      </w:pPr>
      <w:r>
        <w:t xml:space="preserve">The largest delta value was found in the xxx subgroup with a delta value of</w:t>
      </w:r>
      <w:r>
        <w:t xml:space="preserve"> </w:t>
      </w:r>
      <w:r>
        <w:rPr>
          <w:rStyle w:val="VerbatimChar"/>
        </w:rPr>
        <w:t xml:space="preserve">max.delta</w:t>
      </w:r>
      <w:r>
        <w:t xml:space="preserve">. The smallest delta value was found in the xxx subgruop with a delta value of</w:t>
      </w:r>
      <w:r>
        <w:t xml:space="preserve"> </w:t>
      </w:r>
      <w:r>
        <w:rPr>
          <w:rStyle w:val="VerbatimChar"/>
        </w:rPr>
        <w:t xml:space="preserve">min delta</w:t>
      </w:r>
      <w:r>
        <w:t xml:space="preserve">. In the xxx subgroup the delta value with the widest range were found</w:t>
      </w:r>
      <w:r>
        <w:t xml:space="preserve"> </w:t>
      </w:r>
      <w:r>
        <w:rPr>
          <w:rStyle w:val="VerbatimChar"/>
        </w:rPr>
        <w:t xml:space="preserve">wid.delta</w:t>
      </w:r>
      <w:r>
        <w:t xml:space="preserve">. In the MSR subgroup The most statistical significant delta value was found in the xxxx cohort. In the binary subgroups the most significant delta value was found in the xxxx cohort.</w:t>
      </w:r>
    </w:p>
    <w:p>
      <w:pPr>
        <w:pStyle w:val="TableCaption"/>
      </w:pPr>
      <w:r>
        <w:t xml:space="preserve">Delta MRS values</w:t>
      </w:r>
    </w:p>
    <w:tbl>
      <w:tblPr>
        <w:tblStyle w:val="Table"/>
        <w:tblW w:type="pct" w:w="4999.999999999999"/>
        <w:tblLook w:firstRow="1" w:lastRow="0" w:firstColumn="0" w:lastColumn="0" w:noHBand="0" w:noVBand="0" w:val="0020"/>
        <w:tblCaption w:val="Delta MRS values"/>
      </w:tblPr>
      <w:tblGrid>
        <w:gridCol w:w="1034"/>
        <w:gridCol w:w="955"/>
        <w:gridCol w:w="1034"/>
        <w:gridCol w:w="1034"/>
        <w:gridCol w:w="955"/>
        <w:gridCol w:w="955"/>
        <w:gridCol w:w="994"/>
        <w:gridCol w:w="955"/>
      </w:tblGrid>
      <w:tr>
        <w:tc>
          <w:p/>
        </w:tc>
        <w:tc>
          <w:p>
            <w:pPr>
              <w:pStyle w:val="Compact"/>
              <w:jc w:val="left"/>
            </w:pPr>
            <w:r>
              <w:t xml:space="preserve">Head or neck</w:t>
            </w:r>
          </w:p>
        </w:tc>
        <w:tc>
          <w:p>
            <w:pPr>
              <w:pStyle w:val="Compact"/>
              <w:jc w:val="left"/>
            </w:pPr>
            <w:r>
              <w:t xml:space="preserve">Face</w:t>
            </w:r>
          </w:p>
        </w:tc>
        <w:tc>
          <w:p>
            <w:pPr>
              <w:pStyle w:val="Compact"/>
              <w:jc w:val="left"/>
            </w:pPr>
            <w:r>
              <w:t xml:space="preserve">Chest, diaphragm or spine</w:t>
            </w:r>
          </w:p>
        </w:tc>
        <w:tc>
          <w:p>
            <w:pPr>
              <w:pStyle w:val="Compact"/>
              <w:jc w:val="left"/>
            </w:pPr>
            <w:r>
              <w:t xml:space="preserve">Abdomen</w:t>
            </w:r>
          </w:p>
        </w:tc>
        <w:tc>
          <w:p>
            <w:pPr>
              <w:pStyle w:val="Compact"/>
              <w:jc w:val="left"/>
            </w:pPr>
            <w:r>
              <w:t xml:space="preserve">Extremity</w:t>
            </w:r>
          </w:p>
        </w:tc>
        <w:tc>
          <w:p>
            <w:pPr>
              <w:pStyle w:val="Compact"/>
              <w:jc w:val="left"/>
            </w:pPr>
            <w:r>
              <w:t xml:space="preserve">Unspecified</w:t>
            </w:r>
          </w:p>
        </w:tc>
        <w:tc>
          <w:p>
            <w:pPr>
              <w:pStyle w:val="Compact"/>
              <w:jc w:val="left"/>
            </w:pPr>
            <w:r>
              <w:t xml:space="preserve">Multiple</w:t>
            </w:r>
          </w:p>
        </w:tc>
      </w:tr>
      <w:tr>
        <w:tc>
          <w:p>
            <w:pPr>
              <w:pStyle w:val="Compact"/>
              <w:jc w:val="left"/>
            </w:pPr>
            <w:r>
              <w:t xml:space="preserve">Multiple</w:t>
            </w:r>
          </w:p>
        </w:tc>
        <w:tc>
          <w:p>
            <w:pPr>
              <w:pStyle w:val="Compact"/>
              <w:jc w:val="left"/>
            </w:pPr>
            <w:r>
              <w:t xml:space="preserve">3.16 ( 1.19 - 5.32 )</w:t>
            </w:r>
          </w:p>
        </w:tc>
        <w:tc>
          <w:p>
            <w:pPr>
              <w:pStyle w:val="Compact"/>
              <w:jc w:val="left"/>
            </w:pPr>
            <w:r>
              <w:t xml:space="preserve">-1.61 ( -3.66 - 0.77 )</w:t>
            </w:r>
          </w:p>
        </w:tc>
        <w:tc>
          <w:p>
            <w:pPr>
              <w:pStyle w:val="Compact"/>
              <w:jc w:val="left"/>
            </w:pPr>
            <w:r>
              <w:t xml:space="preserve">4.84 ( 2.7 - 7.05 )</w:t>
            </w:r>
          </w:p>
        </w:tc>
        <w:tc>
          <w:p>
            <w:pPr>
              <w:pStyle w:val="Compact"/>
              <w:jc w:val="left"/>
            </w:pPr>
            <w:r>
              <w:t xml:space="preserve">8.87 ( 5.15 - 12.53 )</w:t>
            </w:r>
          </w:p>
        </w:tc>
        <w:tc>
          <w:p>
            <w:pPr>
              <w:pStyle w:val="Compact"/>
              <w:jc w:val="left"/>
            </w:pPr>
            <w:r>
              <w:t xml:space="preserve">2.85 ( 0.93 - 4.84 )</w:t>
            </w:r>
          </w:p>
        </w:tc>
        <w:tc>
          <w:p>
            <w:pPr>
              <w:pStyle w:val="Compact"/>
              <w:jc w:val="left"/>
            </w:pPr>
            <w:r>
              <w:t xml:space="preserve">-2.92 ( -5.3 - -0.2 )</w:t>
            </w:r>
          </w:p>
        </w:tc>
        <w:tc>
          <w:p>
            <w:pPr>
              <w:pStyle w:val="Compact"/>
              <w:jc w:val="left"/>
            </w:pPr>
            <w:r>
              <w:t xml:space="preserve">-</w:t>
            </w:r>
          </w:p>
        </w:tc>
      </w:tr>
      <w:tr>
        <w:tc>
          <w:p>
            <w:pPr>
              <w:pStyle w:val="Compact"/>
              <w:jc w:val="left"/>
            </w:pPr>
            <w:r>
              <w:t xml:space="preserve">Unspecified</w:t>
            </w:r>
          </w:p>
        </w:tc>
        <w:tc>
          <w:p>
            <w:pPr>
              <w:pStyle w:val="Compact"/>
              <w:jc w:val="left"/>
            </w:pPr>
            <w:r>
              <w:t xml:space="preserve">6.07 ( 3.62 - 8.39 )</w:t>
            </w:r>
          </w:p>
        </w:tc>
        <w:tc>
          <w:p>
            <w:pPr>
              <w:pStyle w:val="Compact"/>
              <w:jc w:val="left"/>
            </w:pPr>
            <w:r>
              <w:t xml:space="preserve">1.31 ( -1.03 - 3.63 )</w:t>
            </w:r>
          </w:p>
        </w:tc>
        <w:tc>
          <w:p>
            <w:pPr>
              <w:pStyle w:val="Compact"/>
              <w:jc w:val="left"/>
            </w:pPr>
            <w:r>
              <w:t xml:space="preserve">7.76 ( 5.32 - 9.93 )</w:t>
            </w:r>
          </w:p>
        </w:tc>
        <w:tc>
          <w:p>
            <w:pPr>
              <w:pStyle w:val="Compact"/>
              <w:jc w:val="left"/>
            </w:pPr>
            <w:r>
              <w:t xml:space="preserve">11.78 ( 7.91 - 15.26 )</w:t>
            </w:r>
          </w:p>
        </w:tc>
        <w:tc>
          <w:p>
            <w:pPr>
              <w:pStyle w:val="Compact"/>
              <w:jc w:val="left"/>
            </w:pPr>
            <w:r>
              <w:t xml:space="preserve">5.76 ( 3.28 - 7.98 )</w:t>
            </w:r>
          </w:p>
        </w:tc>
        <w:tc>
          <w:p>
            <w:pPr>
              <w:pStyle w:val="Compact"/>
              <w:jc w:val="left"/>
            </w:pPr>
            <w:r>
              <w:t xml:space="preserve">-</w:t>
            </w:r>
          </w:p>
        </w:tc>
        <w:tc>
          <w:p>
            <w:pPr>
              <w:pStyle w:val="Compact"/>
              <w:jc w:val="left"/>
            </w:pPr>
            <w:r>
              <w:t xml:space="preserve">2.92 ( -0.09 - 5.3 )</w:t>
            </w:r>
          </w:p>
        </w:tc>
      </w:tr>
      <w:tr>
        <w:tc>
          <w:p>
            <w:pPr>
              <w:pStyle w:val="Compact"/>
              <w:jc w:val="left"/>
            </w:pPr>
            <w:r>
              <w:t xml:space="preserve">Extremity</w:t>
            </w:r>
          </w:p>
        </w:tc>
        <w:tc>
          <w:p>
            <w:pPr>
              <w:pStyle w:val="Compact"/>
              <w:jc w:val="left"/>
            </w:pPr>
            <w:r>
              <w:t xml:space="preserve">0.31 ( -1.4 - 2.14 )</w:t>
            </w:r>
          </w:p>
        </w:tc>
        <w:tc>
          <w:p>
            <w:pPr>
              <w:pStyle w:val="Compact"/>
              <w:jc w:val="left"/>
            </w:pPr>
            <w:r>
              <w:t xml:space="preserve">-4.46 ( -6.26 - -2.4 )</w:t>
            </w:r>
          </w:p>
        </w:tc>
        <w:tc>
          <w:p>
            <w:pPr>
              <w:pStyle w:val="Compact"/>
              <w:jc w:val="left"/>
            </w:pPr>
            <w:r>
              <w:t xml:space="preserve">1.99 ( 0.04 - 3.94 )</w:t>
            </w:r>
          </w:p>
        </w:tc>
        <w:tc>
          <w:p>
            <w:pPr>
              <w:pStyle w:val="Compact"/>
              <w:jc w:val="left"/>
            </w:pPr>
            <w:r>
              <w:t xml:space="preserve">6.02 ( 2.28 - 9.62 )</w:t>
            </w:r>
          </w:p>
        </w:tc>
        <w:tc>
          <w:p>
            <w:pPr>
              <w:pStyle w:val="Compact"/>
              <w:jc w:val="left"/>
            </w:pPr>
            <w:r>
              <w:t xml:space="preserve">-</w:t>
            </w:r>
          </w:p>
        </w:tc>
        <w:tc>
          <w:p>
            <w:pPr>
              <w:pStyle w:val="Compact"/>
              <w:jc w:val="left"/>
            </w:pPr>
            <w:r>
              <w:t xml:space="preserve">-5.76 ( -0.09 - -3.28 )</w:t>
            </w:r>
          </w:p>
        </w:tc>
        <w:tc>
          <w:p>
            <w:pPr>
              <w:pStyle w:val="Compact"/>
              <w:jc w:val="left"/>
            </w:pPr>
            <w:r>
              <w:t xml:space="preserve">-2.85 ( -0.09 - -0.93 )</w:t>
            </w:r>
          </w:p>
        </w:tc>
      </w:tr>
      <w:tr>
        <w:tc>
          <w:p>
            <w:pPr>
              <w:pStyle w:val="Compact"/>
              <w:jc w:val="left"/>
            </w:pPr>
            <w:r>
              <w:t xml:space="preserve">Abdomen</w:t>
            </w:r>
          </w:p>
        </w:tc>
        <w:tc>
          <w:p>
            <w:pPr>
              <w:pStyle w:val="Compact"/>
              <w:jc w:val="left"/>
            </w:pPr>
            <w:r>
              <w:t xml:space="preserve">-5.71 ( -9.32 - -1.85 )</w:t>
            </w:r>
          </w:p>
        </w:tc>
        <w:tc>
          <w:p>
            <w:pPr>
              <w:pStyle w:val="Compact"/>
              <w:jc w:val="left"/>
            </w:pPr>
            <w:r>
              <w:t xml:space="preserve">-10.48 ( -13.93 - -6.64 )</w:t>
            </w:r>
          </w:p>
        </w:tc>
        <w:tc>
          <w:p>
            <w:pPr>
              <w:pStyle w:val="Compact"/>
              <w:jc w:val="left"/>
            </w:pPr>
            <w:r>
              <w:t xml:space="preserve">-4.03 ( -7.85 - -0.07 )</w:t>
            </w:r>
          </w:p>
        </w:tc>
        <w:tc>
          <w:p>
            <w:pPr>
              <w:pStyle w:val="Compact"/>
              <w:jc w:val="left"/>
            </w:pPr>
            <w:r>
              <w:t xml:space="preserve">-</w:t>
            </w:r>
          </w:p>
        </w:tc>
        <w:tc>
          <w:p>
            <w:pPr>
              <w:pStyle w:val="Compact"/>
              <w:jc w:val="left"/>
            </w:pPr>
            <w:r>
              <w:t xml:space="preserve">-6.02 ( -0.09 - -2.28 )</w:t>
            </w:r>
          </w:p>
        </w:tc>
        <w:tc>
          <w:p>
            <w:pPr>
              <w:pStyle w:val="Compact"/>
              <w:jc w:val="left"/>
            </w:pPr>
            <w:r>
              <w:t xml:space="preserve">-11.78 ( -0.09 - -7.91 )</w:t>
            </w:r>
          </w:p>
        </w:tc>
        <w:tc>
          <w:p>
            <w:pPr>
              <w:pStyle w:val="Compact"/>
              <w:jc w:val="left"/>
            </w:pPr>
            <w:r>
              <w:t xml:space="preserve">-8.87 ( -0.09 - -5.15 )</w:t>
            </w:r>
          </w:p>
        </w:tc>
      </w:tr>
      <w:tr>
        <w:tc>
          <w:p>
            <w:pPr>
              <w:pStyle w:val="Compact"/>
              <w:jc w:val="left"/>
            </w:pPr>
            <w:r>
              <w:t xml:space="preserve">Chest, diaphragm or spine</w:t>
            </w:r>
          </w:p>
        </w:tc>
        <w:tc>
          <w:p>
            <w:pPr>
              <w:pStyle w:val="Compact"/>
              <w:jc w:val="left"/>
            </w:pPr>
            <w:r>
              <w:t xml:space="preserve">-1.69 ( -3.33 - 0.09 )</w:t>
            </w:r>
          </w:p>
        </w:tc>
        <w:tc>
          <w:p>
            <w:pPr>
              <w:pStyle w:val="Compact"/>
              <w:jc w:val="left"/>
            </w:pPr>
            <w:r>
              <w:t xml:space="preserve">-6.45 ( -8.21 - -4.44 )</w:t>
            </w:r>
          </w:p>
        </w:tc>
        <w:tc>
          <w:p>
            <w:pPr>
              <w:pStyle w:val="Compact"/>
              <w:jc w:val="left"/>
            </w:pPr>
            <w:r>
              <w:t xml:space="preserve">-</w:t>
            </w:r>
          </w:p>
        </w:tc>
        <w:tc>
          <w:p>
            <w:pPr>
              <w:pStyle w:val="Compact"/>
              <w:jc w:val="left"/>
            </w:pPr>
            <w:r>
              <w:t xml:space="preserve">4.03 ( -0.09 - 7.85 )</w:t>
            </w:r>
          </w:p>
        </w:tc>
        <w:tc>
          <w:p>
            <w:pPr>
              <w:pStyle w:val="Compact"/>
              <w:jc w:val="left"/>
            </w:pPr>
            <w:r>
              <w:t xml:space="preserve">-1.99 ( -0.09 - -0.04 )</w:t>
            </w:r>
          </w:p>
        </w:tc>
        <w:tc>
          <w:p>
            <w:pPr>
              <w:pStyle w:val="Compact"/>
              <w:jc w:val="left"/>
            </w:pPr>
            <w:r>
              <w:t xml:space="preserve">-7.76 ( -0.09 - -5.32 )</w:t>
            </w:r>
          </w:p>
        </w:tc>
        <w:tc>
          <w:p>
            <w:pPr>
              <w:pStyle w:val="Compact"/>
              <w:jc w:val="left"/>
            </w:pPr>
            <w:r>
              <w:t xml:space="preserve">-4.84 ( -0.09 - -2.7 )</w:t>
            </w:r>
          </w:p>
        </w:tc>
      </w:tr>
      <w:tr>
        <w:tc>
          <w:p>
            <w:pPr>
              <w:pStyle w:val="Compact"/>
              <w:jc w:val="left"/>
            </w:pPr>
            <w:r>
              <w:t xml:space="preserve">Face</w:t>
            </w:r>
          </w:p>
        </w:tc>
        <w:tc>
          <w:p>
            <w:pPr>
              <w:pStyle w:val="Compact"/>
              <w:jc w:val="left"/>
            </w:pPr>
            <w:r>
              <w:t xml:space="preserve">4.77 ( 2.8 - 6.6 )</w:t>
            </w:r>
          </w:p>
        </w:tc>
        <w:tc>
          <w:p>
            <w:pPr>
              <w:pStyle w:val="Compact"/>
              <w:jc w:val="left"/>
            </w:pPr>
            <w:r>
              <w:t xml:space="preserve">-</w:t>
            </w:r>
          </w:p>
        </w:tc>
        <w:tc>
          <w:p>
            <w:pPr>
              <w:pStyle w:val="Compact"/>
              <w:jc w:val="left"/>
            </w:pPr>
            <w:r>
              <w:t xml:space="preserve">6.45 ( -0.09 - 8.21 )</w:t>
            </w:r>
          </w:p>
        </w:tc>
        <w:tc>
          <w:p>
            <w:pPr>
              <w:pStyle w:val="Compact"/>
              <w:jc w:val="left"/>
            </w:pPr>
            <w:r>
              <w:t xml:space="preserve">10.48 ( -0.09 - 13.93 )</w:t>
            </w:r>
          </w:p>
        </w:tc>
        <w:tc>
          <w:p>
            <w:pPr>
              <w:pStyle w:val="Compact"/>
              <w:jc w:val="left"/>
            </w:pPr>
            <w:r>
              <w:t xml:space="preserve">4.46 ( -0.09 - 6.26 )</w:t>
            </w:r>
          </w:p>
        </w:tc>
        <w:tc>
          <w:p>
            <w:pPr>
              <w:pStyle w:val="Compact"/>
              <w:jc w:val="left"/>
            </w:pPr>
            <w:r>
              <w:t xml:space="preserve">-1.31 ( -0.09 - 1.03 )</w:t>
            </w:r>
          </w:p>
        </w:tc>
        <w:tc>
          <w:p>
            <w:pPr>
              <w:pStyle w:val="Compact"/>
              <w:jc w:val="left"/>
            </w:pPr>
            <w:r>
              <w:t xml:space="preserve">1.61 ( -0.09 - 3.66 )</w:t>
            </w:r>
          </w:p>
        </w:tc>
      </w:tr>
      <w:tr>
        <w:tc>
          <w:p>
            <w:pPr>
              <w:pStyle w:val="Compact"/>
              <w:jc w:val="left"/>
            </w:pPr>
            <w:r>
              <w:t xml:space="preserve">Head or neck</w:t>
            </w:r>
          </w:p>
        </w:tc>
        <w:tc>
          <w:p>
            <w:pPr>
              <w:pStyle w:val="Compact"/>
              <w:jc w:val="left"/>
            </w:pPr>
            <w:r>
              <w:t xml:space="preserve">-</w:t>
            </w:r>
          </w:p>
        </w:tc>
        <w:tc>
          <w:p>
            <w:pPr>
              <w:pStyle w:val="Compact"/>
              <w:jc w:val="left"/>
            </w:pPr>
            <w:r>
              <w:t xml:space="preserve">-4.77 ( -6.6 - -2.8 )</w:t>
            </w:r>
          </w:p>
        </w:tc>
        <w:tc>
          <w:p>
            <w:pPr>
              <w:pStyle w:val="Compact"/>
              <w:jc w:val="left"/>
            </w:pPr>
            <w:r>
              <w:t xml:space="preserve">1.69 ( -0.09 - 3.33 )</w:t>
            </w:r>
          </w:p>
        </w:tc>
        <w:tc>
          <w:p>
            <w:pPr>
              <w:pStyle w:val="Compact"/>
              <w:jc w:val="left"/>
            </w:pPr>
            <w:r>
              <w:t xml:space="preserve">5.71 ( -0.09 - 9.32 )</w:t>
            </w:r>
          </w:p>
        </w:tc>
        <w:tc>
          <w:p>
            <w:pPr>
              <w:pStyle w:val="Compact"/>
              <w:jc w:val="left"/>
            </w:pPr>
            <w:r>
              <w:t xml:space="preserve">-0.31 ( -0.09 - 1.4 )</w:t>
            </w:r>
          </w:p>
        </w:tc>
        <w:tc>
          <w:p>
            <w:pPr>
              <w:pStyle w:val="Compact"/>
              <w:jc w:val="left"/>
            </w:pPr>
            <w:r>
              <w:t xml:space="preserve">-6.07 ( -0.09 - -3.62 )</w:t>
            </w:r>
          </w:p>
        </w:tc>
        <w:tc>
          <w:p>
            <w:pPr>
              <w:pStyle w:val="Compact"/>
              <w:jc w:val="left"/>
            </w:pPr>
            <w:r>
              <w:t xml:space="preserve">-3.16 ( -0.09 - -1.19 )</w:t>
            </w:r>
          </w:p>
        </w:tc>
      </w:tr>
    </w:tbl>
    <w:p/>
    <w:p>
      <w:pPr>
        <w:pStyle w:val="TableCaption"/>
      </w:pPr>
      <w:r>
        <w:t xml:space="preserve">Delta Gender values</w:t>
      </w:r>
    </w:p>
    <w:tbl>
      <w:tblPr>
        <w:tblStyle w:val="Table"/>
        <w:tblW w:type="pct" w:w="0.0"/>
        <w:tblLook w:firstRow="1" w:lastRow="0" w:firstColumn="0" w:lastColumn="0" w:noHBand="0" w:noVBand="0" w:val="0020"/>
        <w:tblCaption w:val="Delta Gender values"/>
      </w:tblPr>
      <w:tblGrid/>
      <w:tr>
        <w:tc>
          <w:p/>
        </w:tc>
        <w:tc>
          <w:p>
            <w:pPr>
              <w:pStyle w:val="Compact"/>
              <w:jc w:val="left"/>
            </w:pPr>
            <w:r>
              <w:t xml:space="preserve">Men</w:t>
            </w:r>
          </w:p>
        </w:tc>
        <w:tc>
          <w:p>
            <w:pPr>
              <w:pStyle w:val="Compact"/>
              <w:jc w:val="left"/>
            </w:pPr>
            <w:r>
              <w:t xml:space="preserve">Women</w:t>
            </w:r>
          </w:p>
        </w:tc>
      </w:tr>
      <w:tr>
        <w:tc>
          <w:p>
            <w:pPr>
              <w:pStyle w:val="Compact"/>
              <w:jc w:val="left"/>
            </w:pPr>
            <w:r>
              <w:t xml:space="preserve">Women</w:t>
            </w:r>
          </w:p>
        </w:tc>
        <w:tc>
          <w:p>
            <w:pPr>
              <w:pStyle w:val="Compact"/>
              <w:jc w:val="left"/>
            </w:pPr>
            <w:r>
              <w:t xml:space="preserve">1.2 ( -0.22 - 2.49 )</w:t>
            </w:r>
          </w:p>
        </w:tc>
        <w:tc>
          <w:p>
            <w:pPr>
              <w:pStyle w:val="Compact"/>
              <w:jc w:val="left"/>
            </w:pPr>
            <w:r>
              <w:t xml:space="preserve">-</w:t>
            </w:r>
          </w:p>
        </w:tc>
      </w:tr>
      <w:tr>
        <w:tc>
          <w:p>
            <w:pPr>
              <w:pStyle w:val="Compact"/>
              <w:jc w:val="left"/>
            </w:pPr>
            <w:r>
              <w:t xml:space="preserve">Men</w:t>
            </w:r>
          </w:p>
        </w:tc>
        <w:tc>
          <w:p>
            <w:pPr>
              <w:pStyle w:val="Compact"/>
              <w:jc w:val="left"/>
            </w:pPr>
            <w:r>
              <w:t xml:space="preserve">-</w:t>
            </w:r>
          </w:p>
        </w:tc>
        <w:tc>
          <w:p>
            <w:pPr>
              <w:pStyle w:val="Compact"/>
              <w:jc w:val="left"/>
            </w:pPr>
            <w:r>
              <w:t xml:space="preserve">-1.2 ( -2.49 - 0.22 )</w:t>
            </w:r>
          </w:p>
        </w:tc>
      </w:tr>
    </w:tbl>
    <w:p/>
    <w:p>
      <w:pPr>
        <w:pStyle w:val="TableCaption"/>
      </w:pPr>
      <w:r>
        <w:t xml:space="preserve">Delta values for minor and major trauma</w:t>
      </w:r>
    </w:p>
    <w:tbl>
      <w:tblPr>
        <w:tblStyle w:val="Table"/>
        <w:tblW w:type="pct" w:w="0.0"/>
        <w:tblLook w:firstRow="1" w:lastRow="0" w:firstColumn="0" w:lastColumn="0" w:noHBand="0" w:noVBand="0" w:val="0020"/>
        <w:tblCaption w:val="Delta values for minor and major trauma"/>
      </w:tblPr>
      <w:tblGrid/>
      <w:tr>
        <w:tc>
          <w:p/>
        </w:tc>
        <w:tc>
          <w:p>
            <w:pPr>
              <w:pStyle w:val="Compact"/>
              <w:jc w:val="left"/>
            </w:pPr>
            <w:r>
              <w:t xml:space="preserve">Minor Trauma</w:t>
            </w:r>
          </w:p>
        </w:tc>
        <w:tc>
          <w:p>
            <w:pPr>
              <w:pStyle w:val="Compact"/>
              <w:jc w:val="left"/>
            </w:pPr>
            <w:r>
              <w:t xml:space="preserve">Major Trauma</w:t>
            </w:r>
          </w:p>
        </w:tc>
      </w:tr>
      <w:tr>
        <w:tc>
          <w:p>
            <w:pPr>
              <w:pStyle w:val="Compact"/>
              <w:jc w:val="left"/>
            </w:pPr>
            <w:r>
              <w:t xml:space="preserve">Major Trauma</w:t>
            </w:r>
          </w:p>
        </w:tc>
        <w:tc>
          <w:p>
            <w:pPr>
              <w:pStyle w:val="Compact"/>
              <w:jc w:val="left"/>
            </w:pPr>
            <w:r>
              <w:t xml:space="preserve">-9.07 ( -9.56 - -8.46 )</w:t>
            </w:r>
          </w:p>
        </w:tc>
        <w:tc>
          <w:p>
            <w:pPr>
              <w:pStyle w:val="Compact"/>
              <w:jc w:val="left"/>
            </w:pPr>
            <w:r>
              <w:t xml:space="preserve">-</w:t>
            </w:r>
          </w:p>
        </w:tc>
      </w:tr>
      <w:tr>
        <w:tc>
          <w:p>
            <w:pPr>
              <w:pStyle w:val="Compact"/>
              <w:jc w:val="left"/>
            </w:pPr>
            <w:r>
              <w:t xml:space="preserve">Minor Trauma</w:t>
            </w:r>
          </w:p>
        </w:tc>
        <w:tc>
          <w:p>
            <w:pPr>
              <w:pStyle w:val="Compact"/>
              <w:jc w:val="left"/>
            </w:pPr>
            <w:r>
              <w:t xml:space="preserve">-</w:t>
            </w:r>
          </w:p>
        </w:tc>
        <w:tc>
          <w:p>
            <w:pPr>
              <w:pStyle w:val="Compact"/>
              <w:jc w:val="left"/>
            </w:pPr>
            <w:r>
              <w:t xml:space="preserve">9.07 ( 8.46 - 9.56 )</w:t>
            </w:r>
          </w:p>
        </w:tc>
      </w:tr>
    </w:tbl>
    <w:p/>
    <w:p>
      <w:pPr>
        <w:pStyle w:val="TableCaption"/>
      </w:pPr>
      <w:r>
        <w:t xml:space="preserve">Delta values for blunt and penetrating trauma</w:t>
      </w:r>
    </w:p>
    <w:tbl>
      <w:tblPr>
        <w:tblStyle w:val="Table"/>
        <w:tblW w:type="pct" w:w="0.0"/>
        <w:tblLook w:firstRow="1" w:lastRow="0" w:firstColumn="0" w:lastColumn="0" w:noHBand="0" w:noVBand="0" w:val="0020"/>
        <w:tblCaption w:val="Delta values for blunt and penetrating trauma"/>
      </w:tblPr>
      <w:tblGrid/>
      <w:tr>
        <w:tc>
          <w:p/>
        </w:tc>
        <w:tc>
          <w:p>
            <w:pPr>
              <w:pStyle w:val="Compact"/>
              <w:jc w:val="left"/>
            </w:pPr>
            <w:r>
              <w:t xml:space="preserve">Blunt Trauma</w:t>
            </w:r>
          </w:p>
        </w:tc>
        <w:tc>
          <w:p>
            <w:pPr>
              <w:pStyle w:val="Compact"/>
              <w:jc w:val="left"/>
            </w:pPr>
            <w:r>
              <w:t xml:space="preserve">Penetrating Trauma</w:t>
            </w:r>
          </w:p>
        </w:tc>
      </w:tr>
      <w:tr>
        <w:tc>
          <w:p>
            <w:pPr>
              <w:pStyle w:val="Compact"/>
              <w:jc w:val="left"/>
            </w:pPr>
            <w:r>
              <w:t xml:space="preserve">Penetrating Trauma</w:t>
            </w:r>
          </w:p>
        </w:tc>
        <w:tc>
          <w:p>
            <w:pPr>
              <w:pStyle w:val="Compact"/>
              <w:jc w:val="left"/>
            </w:pPr>
            <w:r>
              <w:t xml:space="preserve">7.34 ( 6.46 - 8.24 )</w:t>
            </w:r>
          </w:p>
        </w:tc>
        <w:tc>
          <w:p>
            <w:pPr>
              <w:pStyle w:val="Compact"/>
              <w:jc w:val="left"/>
            </w:pPr>
            <w:r>
              <w:t xml:space="preserve">-</w:t>
            </w:r>
          </w:p>
        </w:tc>
      </w:tr>
      <w:tr>
        <w:tc>
          <w:p>
            <w:pPr>
              <w:pStyle w:val="Compact"/>
              <w:jc w:val="left"/>
            </w:pPr>
            <w:r>
              <w:t xml:space="preserve">Blunt Trauma</w:t>
            </w:r>
          </w:p>
        </w:tc>
        <w:tc>
          <w:p>
            <w:pPr>
              <w:pStyle w:val="Compact"/>
              <w:jc w:val="left"/>
            </w:pPr>
            <w:r>
              <w:t xml:space="preserve">-</w:t>
            </w:r>
          </w:p>
        </w:tc>
        <w:tc>
          <w:p>
            <w:pPr>
              <w:pStyle w:val="Compact"/>
              <w:jc w:val="left"/>
            </w:pPr>
            <w:r>
              <w:t xml:space="preserve">-1.2 ( -2.55 - 0.08 )</w:t>
            </w:r>
          </w:p>
        </w:tc>
      </w:tr>
    </w:tbl>
    <w:bookmarkEnd w:id="43"/>
    <w:bookmarkEnd w:id="44"/>
    <w:bookmarkStart w:id="46" w:name="discussion"/>
    <w:p>
      <w:pPr>
        <w:pStyle w:val="Heading1"/>
      </w:pPr>
      <w:r>
        <w:t xml:space="preserve">Discussion</w:t>
      </w:r>
    </w:p>
    <w:bookmarkStart w:id="45" w:name="key-results"/>
    <w:p>
      <w:pPr>
        <w:pStyle w:val="Heading2"/>
      </w:pPr>
      <w:r>
        <w:t xml:space="preserve">Key results</w:t>
      </w:r>
    </w:p>
    <w:p>
      <w:pPr>
        <w:pStyle w:val="FirstParagraph"/>
      </w:pPr>
      <w:r>
        <w:t xml:space="preserve">The purpose of this study was to assess the frequency of OFI for different clinical subgroups and to investigate in what trauma subgroups OFI is most frequent.</w:t>
      </w:r>
    </w:p>
    <w:p>
      <w:pPr>
        <w:pStyle w:val="BodyText"/>
      </w:pPr>
      <w:r>
        <w:t xml:space="preserve">It was found that the Abdomen cohort in the subgroup most severely injured body region had the highest OFI frequency followed by the Major trauma subgroup. It was also found that Men had a higher OFI frequency then women and that penetrating trauma had a higher OFI frequency then blunt trauma.</w:t>
      </w:r>
    </w:p>
    <w:p>
      <w:pPr>
        <w:pStyle w:val="BodyText"/>
      </w:pPr>
      <w:r>
        <w:t xml:space="preserve">Män har mer allvarliga trauman. Därför högre ofi?</w:t>
      </w:r>
    </w:p>
    <w:bookmarkEnd w:id="45"/>
    <w:bookmarkEnd w:id="46"/>
    <w:bookmarkStart w:id="47" w:name="conclusion"/>
    <w:p>
      <w:pPr>
        <w:pStyle w:val="Heading1"/>
      </w:pPr>
      <w:r>
        <w:t xml:space="preserve">Conclusion</w:t>
      </w:r>
    </w:p>
    <w:bookmarkEnd w:id="47"/>
    <w:bookmarkStart w:id="48"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leaked about the patients. For example all data was scrambled for as long as possible, and to get access to the unscrambled data a VPN had to be used.</w:t>
      </w:r>
    </w:p>
    <w:p>
      <w:pPr>
        <w:pStyle w:val="BodyText"/>
      </w:pPr>
      <w:r>
        <w:t xml:space="preserve">This is a study based on data from severely injured and deceased people. But since trauma patients were the patient group that needed to be studied, no other patient group would have been sufficient.</w:t>
      </w:r>
    </w:p>
    <w:p>
      <w:pPr>
        <w:pStyle w:val="BodyText"/>
      </w:pPr>
      <w:r>
        <w:t xml:space="preserve">As this is a registry based study no interventions were made that could effect the patients.</w:t>
      </w:r>
    </w:p>
    <w:p>
      <w:pPr>
        <w:pStyle w:val="BodyText"/>
      </w:pPr>
      <w:r>
        <w:t xml:space="preserve">Possible benefits from these type of studies are the possibility that the result can improve the trauma care and by that decrease morbidity and hopefully save lives. Therefore the possible benefits exceeds the risks.</w:t>
      </w:r>
    </w:p>
    <w:p>
      <w:pPr>
        <w:pStyle w:val="BodyText"/>
      </w:pPr>
      <w:r>
        <w:t xml:space="preserve">Ethical permission has been granted for this project. Dnr number for this permission is 2021-02541 and 2021-0253.</w:t>
      </w:r>
    </w:p>
    <w:bookmarkEnd w:id="48"/>
    <w:bookmarkStart w:id="87" w:name="references"/>
    <w:p>
      <w:pPr>
        <w:pStyle w:val="Heading1"/>
      </w:pPr>
      <w:r>
        <w:t xml:space="preserve">References</w:t>
      </w:r>
    </w:p>
    <w:bookmarkStart w:id="86" w:name="refs"/>
    <w:bookmarkStart w:id="50" w:name="ref-Gerdin"/>
    <w:p>
      <w:pPr>
        <w:pStyle w:val="Bibliography"/>
      </w:pPr>
      <w:r>
        <w:t xml:space="preserve">1.</w:t>
      </w:r>
      <w:r>
        <w:t xml:space="preserve"> </w:t>
      </w:r>
      <w:r>
        <w:t xml:space="preserve">	</w:t>
      </w:r>
      <w:r>
        <w:t xml:space="preserve">Gerdin M. The risk of dying. [cited 2022 Sep 23]; Available from:</w:t>
      </w:r>
      <w:r>
        <w:t xml:space="preserve"> </w:t>
      </w:r>
      <w:hyperlink r:id="rId49">
        <w:r>
          <w:rPr>
            <w:rStyle w:val="Hyperlink"/>
          </w:rPr>
          <w:t xml:space="preserve">https://openarchive.ki.se/xmlui/handle/10616/44832</w:t>
        </w:r>
      </w:hyperlink>
    </w:p>
    <w:bookmarkEnd w:id="50"/>
    <w:bookmarkStart w:id="51"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1"/>
    <w:bookmarkStart w:id="52"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2"/>
    <w:bookmarkStart w:id="53"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3"/>
    <w:bookmarkStart w:id="54"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4"/>
    <w:bookmarkStart w:id="55"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5"/>
    <w:bookmarkStart w:id="56"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6"/>
    <w:bookmarkStart w:id="57"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7"/>
    <w:bookmarkStart w:id="58"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58"/>
    <w:bookmarkStart w:id="59"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59"/>
    <w:bookmarkStart w:id="60"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0"/>
    <w:bookmarkStart w:id="61"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1"/>
    <w:bookmarkStart w:id="62"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2"/>
    <w:bookmarkStart w:id="63"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3"/>
    <w:bookmarkStart w:id="64"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4"/>
    <w:bookmarkStart w:id="65"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5"/>
    <w:bookmarkStart w:id="66"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6"/>
    <w:bookmarkStart w:id="68" w:name="ref-swetrau"/>
    <w:p>
      <w:pPr>
        <w:pStyle w:val="Bibliography"/>
      </w:pPr>
      <w:r>
        <w:t xml:space="preserve">18.</w:t>
      </w:r>
      <w:r>
        <w:t xml:space="preserve"> </w:t>
      </w:r>
      <w:r>
        <w:t xml:space="preserve">	</w:t>
      </w:r>
      <w:r>
        <w:t xml:space="preserve">Svenska traumaregistret (SweTrau). THE SWEDISH TRAUMA REGISTRY (SWETRAU). [cited 2022 Sep 23]; Available from:</w:t>
      </w:r>
      <w:r>
        <w:t xml:space="preserve"> </w:t>
      </w:r>
      <w:hyperlink r:id="rId67">
        <w:r>
          <w:rPr>
            <w:rStyle w:val="Hyperlink"/>
          </w:rPr>
          <w:t xml:space="preserve">https://rcsyd.se/swetrau/om-swetrau/about-swetrau-in-english/swetrau-the-swedish-trauma-registry</w:t>
        </w:r>
      </w:hyperlink>
    </w:p>
    <w:bookmarkEnd w:id="68"/>
    <w:bookmarkStart w:id="69" w:name="ref-Sanddal2011-cl"/>
    <w:p>
      <w:pPr>
        <w:pStyle w:val="Bibliography"/>
      </w:pPr>
      <w:r>
        <w:t xml:space="preserve">19.</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69"/>
    <w:bookmarkStart w:id="71" w:name="ref-OReilly2013"/>
    <w:p>
      <w:pPr>
        <w:pStyle w:val="Bibliography"/>
      </w:pPr>
      <w:r>
        <w:t xml:space="preserve">20.</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0">
        <w:r>
          <w:rPr>
            <w:rStyle w:val="Hyperlink"/>
          </w:rPr>
          <w:t xml:space="preserve">http://dx.doi.org/10.1002/bjs.9096</w:t>
        </w:r>
      </w:hyperlink>
    </w:p>
    <w:bookmarkEnd w:id="71"/>
    <w:bookmarkStart w:id="73" w:name="ref-Traumaguidelines09"/>
    <w:p>
      <w:pPr>
        <w:pStyle w:val="Bibliography"/>
      </w:pPr>
      <w:r>
        <w:t xml:space="preserve">21.</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2">
        <w:r>
          <w:rPr>
            <w:rStyle w:val="Hyperlink"/>
          </w:rPr>
          <w:t xml:space="preserve">https://apps.who.int/iris/bitstream/handle/10665/44061/9789241597746_eng.pdf?sequence=1&amp;isAllowed=y</w:t>
        </w:r>
      </w:hyperlink>
    </w:p>
    <w:bookmarkEnd w:id="73"/>
    <w:bookmarkStart w:id="74" w:name="ref-Montmany2016-hz"/>
    <w:p>
      <w:pPr>
        <w:pStyle w:val="Bibliography"/>
      </w:pPr>
      <w:r>
        <w:t xml:space="preserve">22.</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4"/>
    <w:bookmarkStart w:id="75" w:name="ref-Coats2020-wj"/>
    <w:p>
      <w:pPr>
        <w:pStyle w:val="Bibliography"/>
      </w:pPr>
      <w:r>
        <w:t xml:space="preserve">23.</w:t>
      </w:r>
      <w:r>
        <w:t xml:space="preserve"> </w:t>
      </w:r>
      <w:r>
        <w:t xml:space="preserve">	</w:t>
      </w:r>
      <w:r>
        <w:t xml:space="preserve">Coats T. Blunt major trauma: Now two different diseases? Br J Hosp Med (Lond). 2020 Apr;81(4):1–3.</w:t>
      </w:r>
      <w:r>
        <w:t xml:space="preserve"> </w:t>
      </w:r>
    </w:p>
    <w:bookmarkEnd w:id="75"/>
    <w:bookmarkStart w:id="77" w:name="ref-arsrapportswetrau"/>
    <w:p>
      <w:pPr>
        <w:pStyle w:val="Bibliography"/>
      </w:pPr>
      <w:r>
        <w:t xml:space="preserve">24.</w:t>
      </w:r>
      <w:r>
        <w:t xml:space="preserve"> </w:t>
      </w:r>
      <w:r>
        <w:t xml:space="preserve">	</w:t>
      </w:r>
      <w:r>
        <w:t xml:space="preserve">Svenska traumaregistret (SweTrau). Årsrapport 2021. [cited 2022 Sep 23]; Available from:</w:t>
      </w:r>
      <w:r>
        <w:t xml:space="preserve"> </w:t>
      </w:r>
      <w:hyperlink r:id="rId76">
        <w:r>
          <w:rPr>
            <w:rStyle w:val="Hyperlink"/>
          </w:rPr>
          <w:t xml:space="preserve">https://rcsyd.se/swetrau/om-swetrau/arsrapporter</w:t>
        </w:r>
      </w:hyperlink>
    </w:p>
    <w:bookmarkEnd w:id="77"/>
    <w:bookmarkStart w:id="79"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78">
        <w:r>
          <w:rPr>
            <w:rStyle w:val="Hyperlink"/>
          </w:rPr>
          <w:t xml:space="preserve">https://news.cision.com/karolinska-universitetssjukhuset/r/karolinska-university-hospital-is-the-eighth-best-hospital-in-the-world,c3517653</w:t>
        </w:r>
      </w:hyperlink>
    </w:p>
    <w:bookmarkEnd w:id="79"/>
    <w:bookmarkStart w:id="81"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80">
        <w:r>
          <w:rPr>
            <w:rStyle w:val="Hyperlink"/>
          </w:rPr>
          <w:t xml:space="preserve">https://www.karolinska.se/for-vardgivare/tema-akut-och-reparativ-medicin/trauma-akutkirurgi-och-ortopedi/traumacentrum/</w:t>
        </w:r>
      </w:hyperlink>
    </w:p>
    <w:bookmarkEnd w:id="81"/>
    <w:bookmarkStart w:id="82"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82"/>
    <w:bookmarkStart w:id="83"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83"/>
    <w:bookmarkStart w:id="85"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4">
        <w:r>
          <w:rPr>
            <w:rStyle w:val="Hyperlink"/>
          </w:rPr>
          <w:t xml:space="preserve">https://www.R-project.org/</w:t>
        </w:r>
      </w:hyperlink>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70" Target="http://dx.doi.org/10.1002/bjs.9096" TargetMode="External" /><Relationship Type="http://schemas.openxmlformats.org/officeDocument/2006/relationships/hyperlink" Id="rId72" Target="https://apps.who.int/iris/bitstream/handle/10665/44061/9789241597746_eng.pdf?sequence=1&amp;isAllowed=y" TargetMode="External" /><Relationship Type="http://schemas.openxmlformats.org/officeDocument/2006/relationships/hyperlink" Id="rId78" Target="https://news.cision.com/karolinska-universitetssjukhuset/r/karolinska-university-hospital-is-the-eighth-best-hospital-in-the-world,c3517653" TargetMode="External" /><Relationship Type="http://schemas.openxmlformats.org/officeDocument/2006/relationships/hyperlink" Id="rId49" Target="https://openarchive.ki.se/xmlui/handle/10616/44832" TargetMode="External" /><Relationship Type="http://schemas.openxmlformats.org/officeDocument/2006/relationships/hyperlink" Id="rId67" Target="https://rcsyd.se/swetrau/om-swetrau/about-swetrau-in-english/swetrau-the-swedish-trauma-registry" TargetMode="External" /><Relationship Type="http://schemas.openxmlformats.org/officeDocument/2006/relationships/hyperlink" Id="rId76" Target="https://rcsyd.se/swetrau/om-swetrau/arsrapporter" TargetMode="External" /><Relationship Type="http://schemas.openxmlformats.org/officeDocument/2006/relationships/hyperlink" Id="rId84" Target="https://www.R-project.org/" TargetMode="External" /><Relationship Type="http://schemas.openxmlformats.org/officeDocument/2006/relationships/hyperlink" Id="rId80" Target="https://www.karolinska.se/for-vardgivare/tema-akut-och-reparativ-medicin/trauma-akutkirurgi-och-ortopedi/traumacentrum/" TargetMode="External" /></Relationships>
</file>

<file path=word/_rels/footnotes.xml.rels><?xml version="1.0" encoding="UTF-8"?>
<Relationships xmlns="http://schemas.openxmlformats.org/package/2006/relationships"><Relationship Type="http://schemas.openxmlformats.org/officeDocument/2006/relationships/hyperlink" Id="rId70" Target="http://dx.doi.org/10.1002/bjs.9096" TargetMode="External" /><Relationship Type="http://schemas.openxmlformats.org/officeDocument/2006/relationships/hyperlink" Id="rId72" Target="https://apps.who.int/iris/bitstream/handle/10665/44061/9789241597746_eng.pdf?sequence=1&amp;isAllowed=y" TargetMode="External" /><Relationship Type="http://schemas.openxmlformats.org/officeDocument/2006/relationships/hyperlink" Id="rId78" Target="https://news.cision.com/karolinska-universitetssjukhuset/r/karolinska-university-hospital-is-the-eighth-best-hospital-in-the-world,c3517653" TargetMode="External" /><Relationship Type="http://schemas.openxmlformats.org/officeDocument/2006/relationships/hyperlink" Id="rId49" Target="https://openarchive.ki.se/xmlui/handle/10616/44832" TargetMode="External" /><Relationship Type="http://schemas.openxmlformats.org/officeDocument/2006/relationships/hyperlink" Id="rId67" Target="https://rcsyd.se/swetrau/om-swetrau/about-swetrau-in-english/swetrau-the-swedish-trauma-registry" TargetMode="External" /><Relationship Type="http://schemas.openxmlformats.org/officeDocument/2006/relationships/hyperlink" Id="rId76" Target="https://rcsyd.se/swetrau/om-swetrau/arsrapporter" TargetMode="External" /><Relationship Type="http://schemas.openxmlformats.org/officeDocument/2006/relationships/hyperlink" Id="rId84" Target="https://www.R-project.org/" TargetMode="External" /><Relationship Type="http://schemas.openxmlformats.org/officeDocument/2006/relationships/hyperlink" Id="rId80"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2022-11-29T09:28:53Z</dcterms:created>
  <dcterms:modified xsi:type="dcterms:W3CDTF">2022-11-29T09:28:53Z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