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7" w:name="background"/>
    <w:p>
      <w:pPr>
        <w:pStyle w:val="Heading1"/>
      </w:pPr>
      <w:r>
        <w:t xml:space="preserve">Background</w:t>
      </w:r>
    </w:p>
    <w:p>
      <w:pPr>
        <w:pStyle w:val="FirstParagraph"/>
      </w:pPr>
      <w:r>
        <w:t xml:space="preserve">Trauma is defined as the clinical entity composed of physical injury and the body’s associated response, as trauma represents about 9 % of annual global death it is one of the leading causes of mortality and morbidity in the world.</w:t>
      </w:r>
      <w:r>
        <w:t xml:space="preserve">(2)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0" w:name="trauma-quality-improvement"/>
    <w:p>
      <w:pPr>
        <w:pStyle w:val="Heading2"/>
      </w:pPr>
      <w:r>
        <w:t xml:space="preserve">Trauma quality improvement</w:t>
      </w:r>
    </w:p>
    <w:p>
      <w:pPr>
        <w:pStyle w:val="FirstParagraph"/>
      </w:pPr>
      <w:r>
        <w:t xml:space="preserve">Health care quality has been a topic for research for over 100 years. However, in the earlier research the focus were mainly standards of performance connected to the skill levels of individual physicians. Meaning that when faults were made, answers were sought for in individuals rather than in the system.</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 </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 </w:t>
      </w:r>
      <w:r>
        <w:t xml:space="preserve">(10)</w:t>
      </w:r>
      <w:r>
        <w:t xml:space="preserve">.</w:t>
      </w:r>
    </w:p>
    <w:bookmarkEnd w:id="20"/>
    <w:bookmarkStart w:id="21"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a certain event differ from the guidelines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1"/>
    <w:bookmarkStart w:id="22"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 patient gets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2"/>
    <w:bookmarkStart w:id="23"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the best practice guidelines in at least one aspect. Whether there is opportunity for improvement for a specific case or not is decided during M&amp;M where selected trauma cases are reviewed. Examples of OFI could be too long transportation time to the hospital from the site of injury, insufficient vital signs documentation at the emergency department or missing trauma surgeon/consultant.</w:t>
      </w:r>
      <w:r>
        <w:t xml:space="preserve">(18)</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(19)</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(20)</w:t>
      </w:r>
      <w:r>
        <w:t xml:space="preserve">. Furthermore there is no consensus for classification of preventable and non preventable death, leading authors to use different classifications</w:t>
      </w:r>
      <w:r>
        <w:t xml:space="preserve"> </w:t>
      </w:r>
      <w:r>
        <w:t xml:space="preserve">(21)</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(18)</w:t>
      </w:r>
      <w:r>
        <w:t xml:space="preserve">.</w:t>
      </w:r>
    </w:p>
    <w:bookmarkEnd w:id="23"/>
    <w:bookmarkStart w:id="24"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different trauma subgroups.</w:t>
      </w:r>
      <w:r>
        <w:t xml:space="preserve">(22)</w:t>
      </w:r>
      <w:r>
        <w:t xml:space="preserve">. Some examples of subgroups are men and women, blunt and penetrating trauma, geriatric, major and minor trauma and traumatic brain injury</w:t>
      </w:r>
      <w:r>
        <w:t xml:space="preserve"> </w:t>
      </w:r>
      <w:r>
        <w:t xml:space="preserve">(23)</w:t>
      </w:r>
      <w:r>
        <w:t xml:space="preserve">.</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(23)</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(23)</w:t>
      </w:r>
      <w:r>
        <w:t xml:space="preserve">. As trauma patterns differs, it is also possible that OFI frequency differs between subgroups.</w:t>
      </w:r>
    </w:p>
    <w:bookmarkEnd w:id="24"/>
    <w:bookmarkStart w:id="25"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(23)</w:t>
      </w:r>
      <w:r>
        <w:t xml:space="preserve"> </w:t>
      </w:r>
      <w:r>
        <w:t xml:space="preserve">But despite having all this data in the trauma registers, knowledge regarding OFI patterns among different trauma subgroups remains unknown.</w:t>
      </w:r>
    </w:p>
    <w:bookmarkEnd w:id="25"/>
    <w:bookmarkStart w:id="26"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most severely injured body region.</w:t>
      </w:r>
    </w:p>
    <w:bookmarkEnd w:id="26"/>
    <w:bookmarkEnd w:id="27"/>
    <w:bookmarkStart w:id="37" w:name="materials-and-methods"/>
    <w:p>
      <w:pPr>
        <w:pStyle w:val="Heading1"/>
      </w:pPr>
      <w:r>
        <w:t xml:space="preserve">Materials and Methods</w:t>
      </w:r>
    </w:p>
    <w:bookmarkStart w:id="28" w:name="study-design"/>
    <w:p>
      <w:pPr>
        <w:pStyle w:val="Heading2"/>
      </w:pPr>
      <w:r>
        <w:t xml:space="preserve">Study design</w:t>
      </w:r>
    </w:p>
    <w:p>
      <w:pPr>
        <w:pStyle w:val="FirstParagraph"/>
      </w:pPr>
      <w:r>
        <w:t xml:space="preserve">In Sweden there is a national trauma registry (SweTrau) holding records of trauma cases from 48 out of 49 hospitals who receives major trauma. To meet the inclusions criteria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(24)</w:t>
      </w:r>
    </w:p>
    <w:p>
      <w:pPr>
        <w:pStyle w:val="BodyText"/>
      </w:pPr>
      <w:r>
        <w:t xml:space="preserve">This is a registry based cohort study that uses data from two different Swedish</w:t>
      </w:r>
      <w:r>
        <w:t xml:space="preserve"> </w:t>
      </w:r>
      <w:r>
        <w:t xml:space="preserve">trauma registries. The first registry is the trauma registry at the Karolinska University Hospital in Solna. It is a part of SweTrau and contains patients from the years 2012 to 2021.</w:t>
      </w:r>
      <w:r>
        <w:t xml:space="preserve"> </w:t>
      </w:r>
      <w:r>
        <w:t xml:space="preserve">The second registry is the the trauma care quality database which is a subset of the Karolinska University Hospital Trauma Registry.</w:t>
      </w:r>
    </w:p>
    <w:p>
      <w:pPr>
        <w:pStyle w:val="BodyText"/>
      </w:pPr>
      <w:r>
        <w:t xml:space="preserve">The trauma quality database includes patients selected for review between 2014 and 2021. These registries were merged and a complete case analysis was done. The data in the registries was used to decrease the risk for bias. The results were presented in tables showing the frequency of OFI for the different subgroups. Delta values for OFI frequency between subgroups was calculated. Bootstrapping was then preformed to estimate the confidence interval for the delta values as well as the confidence interval for each OFI frequency.</w:t>
      </w:r>
    </w:p>
    <w:bookmarkEnd w:id="28"/>
    <w:bookmarkStart w:id="30"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To the trauma team at Karolinska Solna only those who are classified as a priority one by the pre hospital professionals are admitted.</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t xml:space="preserve">Audit filters and for some cases, maual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r>
        <w:t xml:space="preserve"> </w:t>
      </w:r>
      <w:r>
        <w:drawing>
          <wp:inline>
            <wp:extent cx="3810000" cy="2523564"/>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29"/>
                    <a:stretch>
                      <a:fillRect/>
                    </a:stretch>
                  </pic:blipFill>
                  <pic:spPr bwMode="auto">
                    <a:xfrm>
                      <a:off x="0" y="0"/>
                      <a:ext cx="3810000" cy="2523564"/>
                    </a:xfrm>
                    <a:prstGeom prst="rect">
                      <a:avLst/>
                    </a:prstGeom>
                    <a:noFill/>
                    <a:ln w="9525">
                      <a:noFill/>
                      <a:headEnd/>
                      <a:tailEnd/>
                    </a:ln>
                  </pic:spPr>
                </pic:pic>
              </a:graphicData>
            </a:graphic>
          </wp:inline>
        </w:drawing>
      </w:r>
    </w:p>
    <w:bookmarkEnd w:id="30"/>
    <w:bookmarkStart w:id="31"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or AIS code the patient was excluded.</w:t>
      </w:r>
    </w:p>
    <w:bookmarkEnd w:id="31"/>
    <w:bookmarkStart w:id="32" w:name="variables-and-data-sourcesmeasurements"/>
    <w:p>
      <w:pPr>
        <w:pStyle w:val="Heading2"/>
      </w:pPr>
      <w:r>
        <w:t xml:space="preserve">Variables and data sources/measurements</w:t>
      </w:r>
    </w:p>
    <w:p>
      <w:pPr>
        <w:pStyle w:val="FirstParagraph"/>
      </w:pPr>
      <w:r>
        <w:t xml:space="preserve">The data from the trauma registries were analyzed for OFI in separate cohorts. The cohorts were: men and women, blunt and penetrating injuries, minor and major trauma and most severely injured body region. The injured body regions was analysed based on AIS codes and these codes were used to group patients into appropriate cohorts.</w:t>
      </w:r>
    </w:p>
    <w:p>
      <w:pPr>
        <w:pStyle w:val="BodyText"/>
      </w:pPr>
      <w:r>
        <w:t xml:space="preserve">The cohort for most severely injured region was created by assigning the most severely injured body region based on AIS codes to every different patient. For patients who had two or more different injuries and thereby multple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group patients with minor versus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2"/>
    <w:bookmarkStart w:id="33" w:name="bias"/>
    <w:p>
      <w:pPr>
        <w:pStyle w:val="Heading2"/>
      </w:pPr>
      <w:r>
        <w:t xml:space="preserve">Bias</w:t>
      </w:r>
    </w:p>
    <w:p>
      <w:pPr>
        <w:pStyle w:val="FirstParagraph"/>
      </w:pPr>
      <w:r>
        <w:t xml:space="preserve">To prevent research bias all data will be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3"/>
    <w:bookmarkStart w:id="34"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4"/>
    <w:bookmarkStart w:id="35" w:name="quantitative-variables"/>
    <w:p>
      <w:pPr>
        <w:pStyle w:val="Heading2"/>
      </w:pPr>
      <w:r>
        <w:t xml:space="preserve">Quantitative variables</w:t>
      </w:r>
    </w:p>
    <w:p>
      <w:pPr>
        <w:pStyle w:val="FirstParagraph"/>
      </w:pPr>
      <w:r>
        <w:t xml:space="preserve">The registers hold both categorical and continuous variables. NISS, age and AIS codes were treated as continuous variables. Penetrating/blunt trauma, minor/major trauma and OFI was treated as binary categorical variables. Most severely injured body region was treated as categorical variabel.</w:t>
      </w:r>
    </w:p>
    <w:p>
      <w:pPr>
        <w:pStyle w:val="BodyText"/>
      </w:pPr>
      <w:r>
        <w:t xml:space="preserve">The range of NISS was 1-75, representing the number of AIS points for each patient. Penetraiting/blunt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Trauma Mechanism had a value that ranged from 1-13. Each number was represented by the following trauma mechanism. 1 -</w:t>
      </w:r>
      <w:r>
        <w:t xml:space="preserve"> </w:t>
      </w:r>
      <w:r>
        <w:t xml:space="preserve">“</w:t>
      </w:r>
      <w:r>
        <w:t xml:space="preserve">Trauma mechanism Traffic - motor veichle accident, not motorcycle.</w:t>
      </w:r>
      <w:r>
        <w:t xml:space="preserve">”</w:t>
      </w:r>
      <w:r>
        <w:t xml:space="preserve"> </w:t>
      </w:r>
      <w:r>
        <w:t xml:space="preserve">2 -</w:t>
      </w:r>
      <w:r>
        <w:t xml:space="preserve"> </w:t>
      </w:r>
      <w:r>
        <w:t xml:space="preserve">“</w:t>
      </w:r>
      <w:r>
        <w:t xml:space="preserve">Traffic - motorcycle accident.</w:t>
      </w:r>
      <w:r>
        <w:t xml:space="preserve">”</w:t>
      </w:r>
      <w:r>
        <w:t xml:space="preserve"> </w:t>
      </w:r>
      <w:r>
        <w:t xml:space="preserve">3 -</w:t>
      </w:r>
      <w:r>
        <w:t xml:space="preserve"> </w:t>
      </w:r>
      <w:r>
        <w:t xml:space="preserve">“</w:t>
      </w:r>
      <w:r>
        <w:t xml:space="preserve">Traffic - bicycle accident.</w:t>
      </w:r>
      <w:r>
        <w:t xml:space="preserve">”</w:t>
      </w:r>
      <w:r>
        <w:t xml:space="preserve"> </w:t>
      </w:r>
      <w:r>
        <w:t xml:space="preserve">4 -</w:t>
      </w:r>
      <w:r>
        <w:t xml:space="preserve">“</w:t>
      </w:r>
      <w:r>
        <w:t xml:space="preserve">Traffic - pedastrian.</w:t>
      </w:r>
      <w:r>
        <w:t xml:space="preserve">”</w:t>
      </w:r>
      <w:r>
        <w:t xml:space="preserve"> </w:t>
      </w:r>
      <w:r>
        <w:t xml:space="preserve">5 -</w:t>
      </w:r>
      <w:r>
        <w:t xml:space="preserve"> </w:t>
      </w:r>
      <w:r>
        <w:t xml:space="preserve">“</w:t>
      </w:r>
      <w:r>
        <w:t xml:space="preserve">Traffic - other.</w:t>
      </w:r>
      <w:r>
        <w:t xml:space="preserve">”</w:t>
      </w:r>
      <w:r>
        <w:t xml:space="preserve"> </w:t>
      </w:r>
      <w:r>
        <w:t xml:space="preserve">6 -</w:t>
      </w:r>
      <w:r>
        <w:t xml:space="preserve">“</w:t>
      </w:r>
      <w:r>
        <w:t xml:space="preserve">Shot by handgun, shotgun, rifle, other firearm of any calibre.</w:t>
      </w:r>
      <w:r>
        <w:t xml:space="preserve">”</w:t>
      </w:r>
      <w:r>
        <w:t xml:space="preserve"> </w:t>
      </w:r>
      <w:r>
        <w:t xml:space="preserve">7 -</w:t>
      </w:r>
      <w:r>
        <w:t xml:space="preserve"> </w:t>
      </w:r>
      <w:r>
        <w:t xml:space="preserve">“</w:t>
      </w:r>
      <w:r>
        <w:t xml:space="preserve">Stabbed by knife, sword, dagger other pointed or sharp object.</w:t>
      </w:r>
      <w:r>
        <w:t xml:space="preserve">”</w:t>
      </w:r>
      <w:r>
        <w:t xml:space="preserve"> </w:t>
      </w:r>
      <w:r>
        <w:t xml:space="preserve">8 -</w:t>
      </w:r>
      <w:r>
        <w:t xml:space="preserve"> </w:t>
      </w:r>
      <w:r>
        <w:t xml:space="preserve">“</w:t>
      </w:r>
      <w:r>
        <w:t xml:space="preserve">Struck or hit by blunt object.</w:t>
      </w:r>
      <w:r>
        <w:t xml:space="preserve">”</w:t>
      </w:r>
      <w:r>
        <w:t xml:space="preserve"> </w:t>
      </w:r>
      <w:r>
        <w:t xml:space="preserve">9 -</w:t>
      </w:r>
      <w:r>
        <w:t xml:space="preserve"> </w:t>
      </w:r>
      <w:r>
        <w:t xml:space="preserve">“</w:t>
      </w:r>
      <w:r>
        <w:t xml:space="preserve">Low energy fall - fall in the same level.</w:t>
      </w:r>
      <w:r>
        <w:t xml:space="preserve">”</w:t>
      </w:r>
      <w:r>
        <w:t xml:space="preserve"> </w:t>
      </w:r>
      <w:r>
        <w:t xml:space="preserve">10 -</w:t>
      </w:r>
      <w:r>
        <w:t xml:space="preserve"> </w:t>
      </w:r>
      <w:r>
        <w:t xml:space="preserve">“</w:t>
      </w:r>
      <w:r>
        <w:t xml:space="preserve">High energy fall - fall from a higher level.</w:t>
      </w:r>
      <w:r>
        <w:t xml:space="preserve">”</w:t>
      </w:r>
      <w:r>
        <w:t xml:space="preserve"> </w:t>
      </w:r>
      <w:r>
        <w:t xml:space="preserve">11 -</w:t>
      </w:r>
      <w:r>
        <w:t xml:space="preserve"> </w:t>
      </w:r>
      <w:r>
        <w:t xml:space="preserve">“</w:t>
      </w:r>
      <w:r>
        <w:t xml:space="preserve">Blast injury.</w:t>
      </w:r>
      <w:r>
        <w:t xml:space="preserve">”</w:t>
      </w:r>
      <w:r>
        <w:t xml:space="preserve"> </w:t>
      </w:r>
      <w:r>
        <w:t xml:space="preserve">12 -</w:t>
      </w:r>
      <w:r>
        <w:t xml:space="preserve"> </w:t>
      </w:r>
      <w:r>
        <w:t xml:space="preserve">“</w:t>
      </w:r>
      <w:r>
        <w:t xml:space="preserve">Other.</w:t>
      </w:r>
      <w:r>
        <w:t xml:space="preserve">”</w:t>
      </w:r>
      <w:r>
        <w:t xml:space="preserve"> </w:t>
      </w:r>
      <w:r>
        <w:t xml:space="preserve">13 -</w:t>
      </w:r>
      <w:r>
        <w:t xml:space="preserve"> </w:t>
      </w:r>
      <w:r>
        <w:t xml:space="preserve">“</w:t>
      </w:r>
      <w:r>
        <w:t xml:space="preserve">Unknown.</w:t>
      </w:r>
      <w:r>
        <w:t xml:space="preserve">”</w:t>
      </w:r>
    </w:p>
    <w:p>
      <w:pPr>
        <w:pStyle w:val="BodyText"/>
      </w:pPr>
      <w:r>
        <w:t xml:space="preserve">The most severe region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5"/>
    <w:bookmarkStart w:id="36" w:name="statistical-methods"/>
    <w:p>
      <w:pPr>
        <w:pStyle w:val="Heading2"/>
      </w:pPr>
      <w:r>
        <w:t xml:space="preserve">Statistical methods</w:t>
      </w:r>
    </w:p>
    <w:p>
      <w:pPr>
        <w:pStyle w:val="FirstParagraph"/>
      </w:pPr>
      <w:r>
        <w:t xml:space="preserve">For handling the data and conducting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difference (delta value) in OFI frequency between subgroups was calculated, meaning that the difference between men and women was calculated but not for example between women and blunt trauma. Bootstrapping was used to estimate the confidence intervals. 1000 bootstrap samples were drawn with replacement, creating 1000 simulated datasets. The analyses were then repeated in these bootstrap samples and the confidence intervals were estimated both for the OFI frequencies and for the delta values based on their distributions across bootstrap samples.</w:t>
      </w:r>
    </w:p>
    <w:bookmarkEnd w:id="36"/>
    <w:bookmarkEnd w:id="37"/>
    <w:bookmarkStart w:id="43" w:name="results"/>
    <w:p>
      <w:pPr>
        <w:pStyle w:val="Heading1"/>
      </w:pPr>
      <w:r>
        <w:t xml:space="preserve">Results</w:t>
      </w:r>
    </w:p>
    <w:bookmarkStart w:id="39"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6146 patients. Each step in the exclusion process is shown in the exclusion chart.</w:t>
      </w:r>
    </w:p>
    <w:p>
      <w:pPr>
        <w:pStyle w:val="BodyText"/>
      </w:pPr>
      <w:r>
        <w:drawing>
          <wp:inline>
            <wp:extent cx="3810000" cy="5072019"/>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38"/>
                    <a:stretch>
                      <a:fillRect/>
                    </a:stretch>
                  </pic:blipFill>
                  <pic:spPr bwMode="auto">
                    <a:xfrm>
                      <a:off x="0" y="0"/>
                      <a:ext cx="3810000" cy="5072019"/>
                    </a:xfrm>
                    <a:prstGeom prst="rect">
                      <a:avLst/>
                    </a:prstGeom>
                    <a:noFill/>
                    <a:ln w="9525">
                      <a:noFill/>
                      <a:headEnd/>
                      <a:tailEnd/>
                    </a:ln>
                  </pic:spPr>
                </pic:pic>
              </a:graphicData>
            </a:graphic>
          </wp:inline>
        </w:drawing>
      </w:r>
    </w:p>
    <w:bookmarkEnd w:id="39"/>
    <w:bookmarkStart w:id="40" w:name="descriptive-data"/>
    <w:p>
      <w:pPr>
        <w:pStyle w:val="Heading2"/>
      </w:pPr>
      <w:r>
        <w:t xml:space="preserve">Descriptive data</w:t>
      </w:r>
    </w:p>
    <w:p>
      <w:pPr>
        <w:pStyle w:val="FirstParagraph"/>
      </w:pPr>
      <w:r>
        <w:t xml:space="preserve">As shown in table 1, out of the 6146 patients included in the cohort 4295 (69.88%) were men. The mean age for all the patients were 45 years and the mean NISS score was 16 (SD 16.22). There was 2582 (42.01%) cases of major trauma and the most frequent dominating type of injury was Blunt trauma with 5153 (83.84%) cases. Among the cohort of Most severe region Head trauma was most frequent with a number of 1677 (27.29%) cases. The largest diffrence in number of OFI patients and no OFI patients was found in the xxx cohort. The median age was higher in the OFI cohort at 47 years, compared with the non OFI cohort which had a median age of 42 years. In the 30 day survuval group, those who did not have OFI were more likely to be alive after 30 days (92,1%) compared with the OFI group (90,1%).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78"/>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survival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Yes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No</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Most severe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bookmarkEnd w:id="40"/>
    <w:bookmarkStart w:id="41" w:name="main-results"/>
    <w:p>
      <w:pPr>
        <w:pStyle w:val="Heading2"/>
      </w:pPr>
      <w:r>
        <w:t xml:space="preserve">Main results</w:t>
      </w:r>
    </w:p>
    <w:p>
      <w:pPr>
        <w:pStyle w:val="FirstParagraph"/>
      </w:pPr>
      <w:r>
        <w:t xml:space="preserve">The subgroup with the highest OFI frequency was found in the Abdomen cohort in the most severely injured body region subgrop with a frequency at 12,73%. The lowest OFI frequency was measured in the xxx cohort with a frquency at 2.25%. Among the men the frequency of OFI was 7.33% ( 6.76 - 8.07 ) and among the women 6.1% ( 5.32 - 6.96 ). In the entire cohort the mean frequency of OFI was 7%. Major trauma had a higher OFI frequency then Minor trauma. In the Most Severe Region subgroup, OFI was most frequent in the Abdomen cohort with a frequency of 12,73%. Penetrating trauma had an OFI frequency at 6,34% and the same number for Blunt trauma was 3,03%.</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( 6.76 - 8.07 )</w:t>
            </w:r>
          </w:p>
        </w:tc>
      </w:tr>
      <w:tr>
        <w:tc>
          <w:p>
            <w:pPr>
              <w:pStyle w:val="Compact"/>
              <w:jc w:val="left"/>
            </w:pPr>
            <w:r>
              <w:t xml:space="preserve">Women</w:t>
            </w:r>
          </w:p>
        </w:tc>
        <w:tc>
          <w:p>
            <w:pPr>
              <w:pStyle w:val="Compact"/>
              <w:jc w:val="center"/>
            </w:pPr>
            <w:r>
              <w:t xml:space="preserve">6.1</w:t>
            </w:r>
          </w:p>
        </w:tc>
        <w:tc>
          <w:p>
            <w:pPr>
              <w:pStyle w:val="Compact"/>
              <w:jc w:val="right"/>
            </w:pPr>
            <w:r>
              <w:t xml:space="preserve">( 5.32 - 6.96 )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( 6.32 - 7.78 )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( 0 - 0 )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( 2.48 - 3.91 )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( 10.52 - 13.58 )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( 5.63 - 8.5 )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( 1.14 - 3.55 )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( 6.74 - 10.75 )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( 8.57 - 18.12 )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( 5.69 - 7.98 )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( 2.7 - 5.62 )</w:t>
            </w:r>
          </w:p>
        </w:tc>
      </w:tr>
      <w:tr>
        <w:tc>
          <w:p>
            <w:pPr>
              <w:pStyle w:val="Compact"/>
              <w:jc w:val="left"/>
            </w:pPr>
            <w:r>
              <w:t xml:space="preserve">Table 3</w:t>
            </w:r>
          </w:p>
        </w:tc>
        <w:tc>
          <w:p/>
        </w:tc>
        <w:tc>
          <w:p/>
        </w:tc>
      </w:tr>
    </w:tbl>
    <w:bookmarkEnd w:id="41"/>
    <w:bookmarkStart w:id="42" w:name="delta-values"/>
    <w:p>
      <w:pPr>
        <w:pStyle w:val="Heading2"/>
      </w:pPr>
      <w:r>
        <w:t xml:space="preserve">Delta values</w:t>
      </w:r>
    </w:p>
    <w:p>
      <w:pPr>
        <w:pStyle w:val="FirstParagraph"/>
      </w:pPr>
      <w:r>
        <w:t xml:space="preserve">The largest delta value was found in the xxx subgroup with a delta value of</w:t>
      </w:r>
      <w:r>
        <w:t xml:space="preserve"> </w:t>
      </w:r>
      <w:r>
        <w:rPr>
          <w:rStyle w:val="VerbatimChar"/>
        </w:rPr>
        <w:t xml:space="preserve">max.delta</w:t>
      </w:r>
      <w:r>
        <w:t xml:space="preserve">. The smallest delta value was found in the xxx subgruop with a delta value of</w:t>
      </w:r>
      <w:r>
        <w:t xml:space="preserve"> </w:t>
      </w:r>
      <w:r>
        <w:rPr>
          <w:rStyle w:val="VerbatimChar"/>
        </w:rPr>
        <w:t xml:space="preserve">min delta</w:t>
      </w:r>
      <w:r>
        <w:t xml:space="preserve">. In the xxx subgroup the delta value with the widest range were found</w:t>
      </w:r>
      <w:r>
        <w:t xml:space="preserve"> </w:t>
      </w:r>
      <w:r>
        <w:rPr>
          <w:rStyle w:val="VerbatimChar"/>
        </w:rPr>
        <w:t xml:space="preserve">wid.delta</w:t>
      </w:r>
      <w:r>
        <w:t xml:space="preserve">. In the MSR subgroup The most statistical significant delta value was found in the xxxx cohort. In the binary subgroups the most significant delta value was found in the xxxx cohort.</w:t>
      </w:r>
      <w:r>
        <w:t xml:space="preserve"> </w:t>
      </w:r>
    </w:p>
    <w:p>
      <w:pPr>
        <w:pStyle w:val="TableCaption"/>
      </w:pPr>
      <w:r>
        <w:t xml:space="preserve">Delta MRS values</w:t>
      </w:r>
    </w:p>
    <w:tbl>
      <w:tblPr>
        <w:tblStyle w:val="Table"/>
        <w:tblW w:type="pct" w:w="4999.999999999999"/>
        <w:tblLook w:firstRow="1" w:lastRow="0" w:firstColumn="0" w:lastColumn="0" w:noHBand="0" w:noVBand="0" w:val="0020"/>
        <w:tblCaption w:val="Delta MRS values"/>
      </w:tblPr>
      <w:tblGrid>
        <w:gridCol w:w="1034"/>
        <w:gridCol w:w="994"/>
        <w:gridCol w:w="994"/>
        <w:gridCol w:w="1034"/>
        <w:gridCol w:w="955"/>
        <w:gridCol w:w="955"/>
        <w:gridCol w:w="994"/>
        <w:gridCol w:w="955"/>
      </w:tblGrid>
      <w:tr>
        <w:tc>
          <w:p/>
        </w:tc>
        <w:tc>
          <w:p>
            <w:pPr>
              <w:pStyle w:val="Compact"/>
              <w:jc w:val="left"/>
            </w:pPr>
            <w:r>
              <w:t xml:space="preserve">Head or neck</w:t>
            </w:r>
          </w:p>
        </w:tc>
        <w:tc>
          <w:p>
            <w:pPr>
              <w:pStyle w:val="Compact"/>
              <w:jc w:val="left"/>
            </w:pPr>
            <w:r>
              <w:t xml:space="preserve">Face</w:t>
            </w:r>
          </w:p>
        </w:tc>
        <w:tc>
          <w:p>
            <w:pPr>
              <w:pStyle w:val="Compact"/>
              <w:jc w:val="left"/>
            </w:pPr>
            <w:r>
              <w:t xml:space="preserve">Chest, diaphragm or spine</w:t>
            </w:r>
          </w:p>
        </w:tc>
        <w:tc>
          <w:p>
            <w:pPr>
              <w:pStyle w:val="Compact"/>
              <w:jc w:val="left"/>
            </w:pPr>
            <w:r>
              <w:t xml:space="preserve">Abdomen</w:t>
            </w:r>
          </w:p>
        </w:tc>
        <w:tc>
          <w:p>
            <w:pPr>
              <w:pStyle w:val="Compact"/>
              <w:jc w:val="left"/>
            </w:pPr>
            <w:r>
              <w:t xml:space="preserve">Extremity</w:t>
            </w:r>
          </w:p>
        </w:tc>
        <w:tc>
          <w:p>
            <w:pPr>
              <w:pStyle w:val="Compact"/>
              <w:jc w:val="left"/>
            </w:pPr>
            <w:r>
              <w:t xml:space="preserve">Unspecified</w:t>
            </w:r>
          </w:p>
        </w:tc>
        <w:tc>
          <w:p>
            <w:pPr>
              <w:pStyle w:val="Compact"/>
              <w:jc w:val="left"/>
            </w:pPr>
            <w:r>
              <w:t xml:space="preserve">Multiple</w:t>
            </w:r>
          </w:p>
        </w:tc>
      </w:tr>
      <w:tr>
        <w:tc>
          <w:p>
            <w:pPr>
              <w:pStyle w:val="Compact"/>
              <w:jc w:val="left"/>
            </w:pPr>
            <w:r>
              <w:t xml:space="preserve">Multiple</w:t>
            </w:r>
          </w:p>
        </w:tc>
        <w:tc>
          <w:p>
            <w:pPr>
              <w:pStyle w:val="Compact"/>
              <w:jc w:val="left"/>
            </w:pPr>
            <w:r>
              <w:t xml:space="preserve">3.18 ( 0.72 - 5.08 )</w:t>
            </w:r>
          </w:p>
        </w:tc>
        <w:tc>
          <w:p>
            <w:pPr>
              <w:pStyle w:val="Compact"/>
              <w:jc w:val="left"/>
            </w:pPr>
            <w:r>
              <w:t xml:space="preserve">-1.61 ( -4.11 - 0.48 )</w:t>
            </w:r>
          </w:p>
        </w:tc>
        <w:tc>
          <w:p>
            <w:pPr>
              <w:pStyle w:val="Compact"/>
              <w:jc w:val="left"/>
            </w:pPr>
            <w:r>
              <w:t xml:space="preserve">4.73 ( 1.69 - 7.47 )</w:t>
            </w:r>
          </w:p>
        </w:tc>
        <w:tc>
          <w:p>
            <w:pPr>
              <w:pStyle w:val="Compact"/>
              <w:jc w:val="left"/>
            </w:pPr>
            <w:r>
              <w:t xml:space="preserve">8.87 ( 4.36 - 14 )</w:t>
            </w:r>
          </w:p>
        </w:tc>
        <w:tc>
          <w:p>
            <w:pPr>
              <w:pStyle w:val="Compact"/>
              <w:jc w:val="left"/>
            </w:pPr>
            <w:r>
              <w:t xml:space="preserve">2.86 ( 0.91 - 4.43 )</w:t>
            </w:r>
          </w:p>
        </w:tc>
        <w:tc>
          <w:p>
            <w:pPr>
              <w:pStyle w:val="Compact"/>
              <w:jc w:val="left"/>
            </w:pPr>
            <w:r>
              <w:t xml:space="preserve">-2.92 ( -6.79 - -1.29 )</w:t>
            </w:r>
          </w:p>
        </w:tc>
        <w:tc>
          <w:p>
            <w:pPr>
              <w:pStyle w:val="Compact"/>
              <w:jc w:val="left"/>
            </w:pPr>
            <w:r>
              <w:t xml:space="preserve">-</w:t>
            </w:r>
          </w:p>
        </w:tc>
      </w:tr>
      <w:tr>
        <w:tc>
          <w:p>
            <w:pPr>
              <w:pStyle w:val="Compact"/>
              <w:jc w:val="left"/>
            </w:pPr>
            <w:r>
              <w:t xml:space="preserve">Unspecified</w:t>
            </w:r>
          </w:p>
        </w:tc>
        <w:tc>
          <w:p>
            <w:pPr>
              <w:pStyle w:val="Compact"/>
              <w:jc w:val="left"/>
            </w:pPr>
            <w:r>
              <w:t xml:space="preserve">6.09 ( 3.88 - 10 )</w:t>
            </w:r>
          </w:p>
        </w:tc>
        <w:tc>
          <w:p>
            <w:pPr>
              <w:pStyle w:val="Compact"/>
              <w:jc w:val="left"/>
            </w:pPr>
            <w:r>
              <w:t xml:space="preserve">1.31 ( -1.31 - 5.75 )</w:t>
            </w:r>
          </w:p>
        </w:tc>
        <w:tc>
          <w:p>
            <w:pPr>
              <w:pStyle w:val="Compact"/>
              <w:jc w:val="left"/>
            </w:pPr>
            <w:r>
              <w:t xml:space="preserve">7.65 ( 5.27 - 11.97 )</w:t>
            </w:r>
          </w:p>
        </w:tc>
        <w:tc>
          <w:p>
            <w:pPr>
              <w:pStyle w:val="Compact"/>
              <w:jc w:val="left"/>
            </w:pPr>
            <w:r>
              <w:t xml:space="preserve">11.78 ( 8.77 - 17.67 )</w:t>
            </w:r>
          </w:p>
        </w:tc>
        <w:tc>
          <w:p>
            <w:pPr>
              <w:pStyle w:val="Compact"/>
              <w:jc w:val="left"/>
            </w:pPr>
            <w:r>
              <w:t xml:space="preserve">5.78 ( 3.28 - 10.14 )</w:t>
            </w:r>
          </w:p>
        </w:tc>
        <w:tc>
          <w:p>
            <w:pPr>
              <w:pStyle w:val="Compact"/>
              <w:jc w:val="left"/>
            </w:pPr>
            <w:r>
              <w:t xml:space="preserve">-</w:t>
            </w:r>
          </w:p>
        </w:tc>
        <w:tc>
          <w:p>
            <w:pPr>
              <w:pStyle w:val="Compact"/>
              <w:jc w:val="left"/>
            </w:pPr>
            <w:r>
              <w:t xml:space="preserve">2.92 ( -0.89 - 6.79 )</w:t>
            </w:r>
          </w:p>
        </w:tc>
      </w:tr>
      <w:tr>
        <w:tc>
          <w:p>
            <w:pPr>
              <w:pStyle w:val="Compact"/>
              <w:jc w:val="left"/>
            </w:pPr>
            <w:r>
              <w:t xml:space="preserve">Extremity</w:t>
            </w:r>
          </w:p>
        </w:tc>
        <w:tc>
          <w:p>
            <w:pPr>
              <w:pStyle w:val="Compact"/>
              <w:jc w:val="left"/>
            </w:pPr>
            <w:r>
              <w:t xml:space="preserve">0.31 ( -1.68 - 2.14 )</w:t>
            </w:r>
          </w:p>
        </w:tc>
        <w:tc>
          <w:p>
            <w:pPr>
              <w:pStyle w:val="Compact"/>
              <w:jc w:val="left"/>
            </w:pPr>
            <w:r>
              <w:t xml:space="preserve">-4.47 ( -6.13 - -2.84 )</w:t>
            </w:r>
          </w:p>
        </w:tc>
        <w:tc>
          <w:p>
            <w:pPr>
              <w:pStyle w:val="Compact"/>
              <w:jc w:val="left"/>
            </w:pPr>
            <w:r>
              <w:t xml:space="preserve">1.87 ( -0.37 - 4.19 )</w:t>
            </w:r>
          </w:p>
        </w:tc>
        <w:tc>
          <w:p>
            <w:pPr>
              <w:pStyle w:val="Compact"/>
              <w:jc w:val="left"/>
            </w:pPr>
            <w:r>
              <w:t xml:space="preserve">6.01 ( 0.86 - 12.16 )</w:t>
            </w:r>
          </w:p>
        </w:tc>
        <w:tc>
          <w:p>
            <w:pPr>
              <w:pStyle w:val="Compact"/>
              <w:jc w:val="left"/>
            </w:pPr>
            <w:r>
              <w:t xml:space="preserve">-</w:t>
            </w:r>
          </w:p>
        </w:tc>
        <w:tc>
          <w:p>
            <w:pPr>
              <w:pStyle w:val="Compact"/>
              <w:jc w:val="left"/>
            </w:pPr>
            <w:r>
              <w:t xml:space="preserve">-5.78 ( -0.89 - -3.28 )</w:t>
            </w:r>
          </w:p>
        </w:tc>
        <w:tc>
          <w:p>
            <w:pPr>
              <w:pStyle w:val="Compact"/>
              <w:jc w:val="left"/>
            </w:pPr>
            <w:r>
              <w:t xml:space="preserve">-2.86 ( -0.89 - -0.91 )</w:t>
            </w:r>
          </w:p>
        </w:tc>
      </w:tr>
      <w:tr>
        <w:tc>
          <w:p>
            <w:pPr>
              <w:pStyle w:val="Compact"/>
              <w:jc w:val="left"/>
            </w:pPr>
            <w:r>
              <w:t xml:space="preserve">Abdomen</w:t>
            </w:r>
          </w:p>
        </w:tc>
        <w:tc>
          <w:p>
            <w:pPr>
              <w:pStyle w:val="Compact"/>
              <w:jc w:val="left"/>
            </w:pPr>
            <w:r>
              <w:t xml:space="preserve">-5.69 ( -11.23 - -1.33 )</w:t>
            </w:r>
          </w:p>
        </w:tc>
        <w:tc>
          <w:p>
            <w:pPr>
              <w:pStyle w:val="Compact"/>
              <w:jc w:val="left"/>
            </w:pPr>
            <w:r>
              <w:t xml:space="preserve">-10.48 ( -16.39 - -5.6 )</w:t>
            </w:r>
          </w:p>
        </w:tc>
        <w:tc>
          <w:p>
            <w:pPr>
              <w:pStyle w:val="Compact"/>
              <w:jc w:val="left"/>
            </w:pPr>
            <w:r>
              <w:t xml:space="preserve">-4.14 ( -10.74 - 1.54 )</w:t>
            </w:r>
          </w:p>
        </w:tc>
        <w:tc>
          <w:p>
            <w:pPr>
              <w:pStyle w:val="Compact"/>
              <w:jc w:val="left"/>
            </w:pPr>
            <w:r>
              <w:t xml:space="preserve">-</w:t>
            </w:r>
          </w:p>
        </w:tc>
        <w:tc>
          <w:p>
            <w:pPr>
              <w:pStyle w:val="Compact"/>
              <w:jc w:val="left"/>
            </w:pPr>
            <w:r>
              <w:t xml:space="preserve">-6.01 ( -0.89 - -0.86 )</w:t>
            </w:r>
          </w:p>
        </w:tc>
        <w:tc>
          <w:p>
            <w:pPr>
              <w:pStyle w:val="Compact"/>
              <w:jc w:val="left"/>
            </w:pPr>
            <w:r>
              <w:t xml:space="preserve">-11.78 ( -0.89 - -8.77 )</w:t>
            </w:r>
          </w:p>
        </w:tc>
        <w:tc>
          <w:p>
            <w:pPr>
              <w:pStyle w:val="Compact"/>
              <w:jc w:val="left"/>
            </w:pPr>
            <w:r>
              <w:t xml:space="preserve">-8.87 ( -0.89 - -4.36 )</w:t>
            </w:r>
          </w:p>
        </w:tc>
      </w:tr>
      <w:tr>
        <w:tc>
          <w:p>
            <w:pPr>
              <w:pStyle w:val="Compact"/>
              <w:jc w:val="left"/>
            </w:pPr>
            <w:r>
              <w:t xml:space="preserve">Chest, diaphragm or spine</w:t>
            </w:r>
          </w:p>
        </w:tc>
        <w:tc>
          <w:p>
            <w:pPr>
              <w:pStyle w:val="Compact"/>
              <w:jc w:val="left"/>
            </w:pPr>
            <w:r>
              <w:t xml:space="preserve">-1.56 ( -4.25 - 0.89 )</w:t>
            </w:r>
          </w:p>
        </w:tc>
        <w:tc>
          <w:p>
            <w:pPr>
              <w:pStyle w:val="Compact"/>
              <w:jc w:val="left"/>
            </w:pPr>
            <w:r>
              <w:t xml:space="preserve">-6.34 ( -7.86 - -4.94 )</w:t>
            </w:r>
          </w:p>
        </w:tc>
        <w:tc>
          <w:p>
            <w:pPr>
              <w:pStyle w:val="Compact"/>
              <w:jc w:val="left"/>
            </w:pPr>
            <w:r>
              <w:t xml:space="preserve">-</w:t>
            </w:r>
          </w:p>
        </w:tc>
        <w:tc>
          <w:p>
            <w:pPr>
              <w:pStyle w:val="Compact"/>
              <w:jc w:val="left"/>
            </w:pPr>
            <w:r>
              <w:t xml:space="preserve">4.14 ( -0.89 - 10.74 )</w:t>
            </w:r>
          </w:p>
        </w:tc>
        <w:tc>
          <w:p>
            <w:pPr>
              <w:pStyle w:val="Compact"/>
              <w:jc w:val="left"/>
            </w:pPr>
            <w:r>
              <w:t xml:space="preserve">-1.87 ( -0.89 - 0.37 )</w:t>
            </w:r>
          </w:p>
        </w:tc>
        <w:tc>
          <w:p>
            <w:pPr>
              <w:pStyle w:val="Compact"/>
              <w:jc w:val="left"/>
            </w:pPr>
            <w:r>
              <w:t xml:space="preserve">-7.65 ( -0.89 - -5.27 )</w:t>
            </w:r>
          </w:p>
        </w:tc>
        <w:tc>
          <w:p>
            <w:pPr>
              <w:pStyle w:val="Compact"/>
              <w:jc w:val="left"/>
            </w:pPr>
            <w:r>
              <w:t xml:space="preserve">-4.73 ( -0.89 - -1.69 )</w:t>
            </w:r>
          </w:p>
        </w:tc>
      </w:tr>
      <w:tr>
        <w:tc>
          <w:p>
            <w:pPr>
              <w:pStyle w:val="Compact"/>
              <w:jc w:val="left"/>
            </w:pPr>
            <w:r>
              <w:t xml:space="preserve">Face</w:t>
            </w:r>
          </w:p>
        </w:tc>
        <w:tc>
          <w:p>
            <w:pPr>
              <w:pStyle w:val="Compact"/>
              <w:jc w:val="left"/>
            </w:pPr>
            <w:r>
              <w:t xml:space="preserve">4.79 ( 2.42 - 7.02 )</w:t>
            </w:r>
          </w:p>
        </w:tc>
        <w:tc>
          <w:p>
            <w:pPr>
              <w:pStyle w:val="Compact"/>
              <w:jc w:val="left"/>
            </w:pPr>
            <w:r>
              <w:t xml:space="preserve">-</w:t>
            </w:r>
          </w:p>
        </w:tc>
        <w:tc>
          <w:p>
            <w:pPr>
              <w:pStyle w:val="Compact"/>
              <w:jc w:val="left"/>
            </w:pPr>
            <w:r>
              <w:t xml:space="preserve">6.34 ( -0.89 - 7.86 )</w:t>
            </w:r>
          </w:p>
        </w:tc>
        <w:tc>
          <w:p>
            <w:pPr>
              <w:pStyle w:val="Compact"/>
              <w:jc w:val="left"/>
            </w:pPr>
            <w:r>
              <w:t xml:space="preserve">10.48 ( -0.89 - 16.39 )</w:t>
            </w:r>
          </w:p>
        </w:tc>
        <w:tc>
          <w:p>
            <w:pPr>
              <w:pStyle w:val="Compact"/>
              <w:jc w:val="left"/>
            </w:pPr>
            <w:r>
              <w:t xml:space="preserve">4.47 ( -0.89 - 6.13 )</w:t>
            </w:r>
          </w:p>
        </w:tc>
        <w:tc>
          <w:p>
            <w:pPr>
              <w:pStyle w:val="Compact"/>
              <w:jc w:val="left"/>
            </w:pPr>
            <w:r>
              <w:t xml:space="preserve">-1.31 ( -0.89 - 1.31 )</w:t>
            </w:r>
          </w:p>
        </w:tc>
        <w:tc>
          <w:p>
            <w:pPr>
              <w:pStyle w:val="Compact"/>
              <w:jc w:val="left"/>
            </w:pPr>
            <w:r>
              <w:t xml:space="preserve">1.61 ( -0.89 - 4.11 )</w:t>
            </w:r>
          </w:p>
        </w:tc>
      </w:tr>
      <w:tr>
        <w:tc>
          <w:p>
            <w:pPr>
              <w:pStyle w:val="Compact"/>
              <w:jc w:val="left"/>
            </w:pPr>
            <w:r>
              <w:t xml:space="preserve">Head or neck</w:t>
            </w:r>
          </w:p>
        </w:tc>
        <w:tc>
          <w:p>
            <w:pPr>
              <w:pStyle w:val="Compact"/>
              <w:jc w:val="left"/>
            </w:pPr>
            <w:r>
              <w:t xml:space="preserve">-</w:t>
            </w:r>
          </w:p>
        </w:tc>
        <w:tc>
          <w:p>
            <w:pPr>
              <w:pStyle w:val="Compact"/>
              <w:jc w:val="left"/>
            </w:pPr>
            <w:r>
              <w:t xml:space="preserve">-4.79 ( -7.02 - -2.42 )</w:t>
            </w:r>
          </w:p>
        </w:tc>
        <w:tc>
          <w:p>
            <w:pPr>
              <w:pStyle w:val="Compact"/>
              <w:jc w:val="left"/>
            </w:pPr>
            <w:r>
              <w:t xml:space="preserve">1.56 ( -0.89 - 4.25 )</w:t>
            </w:r>
          </w:p>
        </w:tc>
        <w:tc>
          <w:p>
            <w:pPr>
              <w:pStyle w:val="Compact"/>
              <w:jc w:val="left"/>
            </w:pPr>
            <w:r>
              <w:t xml:space="preserve">5.69 ( -0.89 - 11.23 )</w:t>
            </w:r>
          </w:p>
        </w:tc>
        <w:tc>
          <w:p>
            <w:pPr>
              <w:pStyle w:val="Compact"/>
              <w:jc w:val="left"/>
            </w:pPr>
            <w:r>
              <w:t xml:space="preserve">-0.31 ( -0.89 - 1.68 )</w:t>
            </w:r>
          </w:p>
        </w:tc>
        <w:tc>
          <w:p>
            <w:pPr>
              <w:pStyle w:val="Compact"/>
              <w:jc w:val="left"/>
            </w:pPr>
            <w:r>
              <w:t xml:space="preserve">-6.09 ( -0.89 - -3.88 )</w:t>
            </w:r>
          </w:p>
        </w:tc>
        <w:tc>
          <w:p>
            <w:pPr>
              <w:pStyle w:val="Compact"/>
              <w:jc w:val="left"/>
            </w:pPr>
            <w:r>
              <w:t xml:space="preserve">-3.18 ( -0.89 - -0.72 )</w:t>
            </w:r>
          </w:p>
        </w:tc>
      </w:tr>
    </w:tbl>
    <w:p/>
    <w:p>
      <w:pPr>
        <w:pStyle w:val="TableCaption"/>
      </w:pPr>
      <w:r>
        <w:t xml:space="preserve">Delta Gender values</w:t>
      </w:r>
    </w:p>
    <w:tbl>
      <w:tblPr>
        <w:tblStyle w:val="Table"/>
        <w:tblW w:type="pct" w:w="0.0"/>
        <w:tblLook w:firstRow="1" w:lastRow="0" w:firstColumn="0" w:lastColumn="0" w:noHBand="0" w:noVBand="0" w:val="0020"/>
        <w:tblCaption w:val="Delta Gender values"/>
      </w:tblPr>
      <w:tblGrid/>
      <w:tr>
        <w:tc>
          <w:p/>
        </w:tc>
        <w:tc>
          <w:p>
            <w:pPr>
              <w:pStyle w:val="Compact"/>
              <w:jc w:val="left"/>
            </w:pPr>
            <w:r>
              <w:t xml:space="preserve">Men</w:t>
            </w:r>
          </w:p>
        </w:tc>
        <w:tc>
          <w:p>
            <w:pPr>
              <w:pStyle w:val="Compact"/>
              <w:jc w:val="left"/>
            </w:pPr>
            <w:r>
              <w:t xml:space="preserve">Women</w:t>
            </w:r>
          </w:p>
        </w:tc>
      </w:tr>
      <w:tr>
        <w:tc>
          <w:p>
            <w:pPr>
              <w:pStyle w:val="Compact"/>
              <w:jc w:val="left"/>
            </w:pPr>
            <w:r>
              <w:t xml:space="preserve">Women</w:t>
            </w:r>
          </w:p>
        </w:tc>
        <w:tc>
          <w:p>
            <w:pPr>
              <w:pStyle w:val="Compact"/>
              <w:jc w:val="left"/>
            </w:pPr>
            <w:r>
              <w:t xml:space="preserve">1.23 ( 0.15 - 2.41 )</w:t>
            </w:r>
          </w:p>
        </w:tc>
        <w:tc>
          <w:p>
            <w:pPr>
              <w:pStyle w:val="Compact"/>
              <w:jc w:val="left"/>
            </w:pPr>
            <w:r>
              <w:t xml:space="preserve">-</w:t>
            </w:r>
          </w:p>
        </w:tc>
      </w:tr>
      <w:tr>
        <w:tc>
          <w:p>
            <w:pPr>
              <w:pStyle w:val="Compact"/>
              <w:jc w:val="left"/>
            </w:pPr>
            <w:r>
              <w:t xml:space="preserve">Men</w:t>
            </w:r>
          </w:p>
        </w:tc>
        <w:tc>
          <w:p>
            <w:pPr>
              <w:pStyle w:val="Compact"/>
              <w:jc w:val="left"/>
            </w:pPr>
            <w:r>
              <w:t xml:space="preserve">-</w:t>
            </w:r>
          </w:p>
        </w:tc>
        <w:tc>
          <w:p>
            <w:pPr>
              <w:pStyle w:val="Compact"/>
              <w:jc w:val="left"/>
            </w:pPr>
            <w:r>
              <w:t xml:space="preserve">-1.23 ( -2.41 - -0.15 )</w:t>
            </w:r>
          </w:p>
        </w:tc>
      </w:tr>
    </w:tbl>
    <w:p/>
    <w:p>
      <w:pPr>
        <w:pStyle w:val="TableCaption"/>
      </w:pPr>
      <w:r>
        <w:t xml:space="preserve">Delta values for minor and major trauma</w:t>
      </w:r>
    </w:p>
    <w:tbl>
      <w:tblPr>
        <w:tblStyle w:val="Table"/>
        <w:tblW w:type="pct" w:w="0.0"/>
        <w:tblLook w:firstRow="1" w:lastRow="0" w:firstColumn="0" w:lastColumn="0" w:noHBand="0" w:noVBand="0" w:val="0020"/>
        <w:tblCaption w:val="Delta values for minor and major trauma"/>
      </w:tblPr>
      <w:tblGrid/>
      <w:tr>
        <w:tc>
          <w:p/>
        </w:tc>
        <w:tc>
          <w:p>
            <w:pPr>
              <w:pStyle w:val="Compact"/>
              <w:jc w:val="left"/>
            </w:pPr>
            <w:r>
              <w:t xml:space="preserve">Minor Trauma</w:t>
            </w:r>
          </w:p>
        </w:tc>
        <w:tc>
          <w:p>
            <w:pPr>
              <w:pStyle w:val="Compact"/>
              <w:jc w:val="left"/>
            </w:pPr>
            <w:r>
              <w:t xml:space="preserve">Major Trauma</w:t>
            </w:r>
          </w:p>
        </w:tc>
      </w:tr>
      <w:tr>
        <w:tc>
          <w:p>
            <w:pPr>
              <w:pStyle w:val="Compact"/>
              <w:jc w:val="left"/>
            </w:pPr>
            <w:r>
              <w:t xml:space="preserve">Major Trauma</w:t>
            </w:r>
          </w:p>
        </w:tc>
        <w:tc>
          <w:p>
            <w:pPr>
              <w:pStyle w:val="Compact"/>
              <w:jc w:val="left"/>
            </w:pPr>
            <w:r>
              <w:t xml:space="preserve">-9.03 ( -10.29 - -7.41 )</w:t>
            </w:r>
          </w:p>
        </w:tc>
        <w:tc>
          <w:p>
            <w:pPr>
              <w:pStyle w:val="Compact"/>
              <w:jc w:val="left"/>
            </w:pPr>
            <w:r>
              <w:t xml:space="preserve">-</w:t>
            </w:r>
          </w:p>
        </w:tc>
      </w:tr>
      <w:tr>
        <w:tc>
          <w:p>
            <w:pPr>
              <w:pStyle w:val="Compact"/>
              <w:jc w:val="left"/>
            </w:pPr>
            <w:r>
              <w:t xml:space="preserve">Minor Trauma</w:t>
            </w:r>
          </w:p>
        </w:tc>
        <w:tc>
          <w:p>
            <w:pPr>
              <w:pStyle w:val="Compact"/>
              <w:jc w:val="left"/>
            </w:pPr>
            <w:r>
              <w:t xml:space="preserve">-</w:t>
            </w:r>
          </w:p>
        </w:tc>
        <w:tc>
          <w:p>
            <w:pPr>
              <w:pStyle w:val="Compact"/>
              <w:jc w:val="left"/>
            </w:pPr>
            <w:r>
              <w:t xml:space="preserve">9.03 ( 7.41 - 10.29 )</w:t>
            </w:r>
          </w:p>
        </w:tc>
      </w:tr>
    </w:tbl>
    <w:p/>
    <w:p>
      <w:pPr>
        <w:pStyle w:val="TableCaption"/>
      </w:pPr>
      <w:r>
        <w:t xml:space="preserve">Delta values for blunt and penetrating trauma</w:t>
      </w:r>
    </w:p>
    <w:tbl>
      <w:tblPr>
        <w:tblStyle w:val="Table"/>
        <w:tblW w:type="pct" w:w="0.0"/>
        <w:tblLook w:firstRow="1" w:lastRow="0" w:firstColumn="0" w:lastColumn="0" w:noHBand="0" w:noVBand="0" w:val="0020"/>
        <w:tblCaption w:val="Delta values for blunt and penetrating trauma"/>
      </w:tblPr>
      <w:tblGrid/>
      <w:tr>
        <w:tc>
          <w:p/>
        </w:tc>
        <w:tc>
          <w:p>
            <w:pPr>
              <w:pStyle w:val="Compact"/>
              <w:jc w:val="left"/>
            </w:pPr>
            <w:r>
              <w:t xml:space="preserve">Blunt Trauma</w:t>
            </w:r>
          </w:p>
        </w:tc>
        <w:tc>
          <w:p>
            <w:pPr>
              <w:pStyle w:val="Compact"/>
              <w:jc w:val="left"/>
            </w:pPr>
            <w:r>
              <w:t xml:space="preserve">Penetrating Trauma</w:t>
            </w:r>
          </w:p>
        </w:tc>
      </w:tr>
      <w:tr>
        <w:tc>
          <w:p>
            <w:pPr>
              <w:pStyle w:val="Compact"/>
              <w:jc w:val="left"/>
            </w:pPr>
            <w:r>
              <w:t xml:space="preserve">Penetrating Trauma</w:t>
            </w:r>
          </w:p>
        </w:tc>
        <w:tc>
          <w:p>
            <w:pPr>
              <w:pStyle w:val="Compact"/>
              <w:jc w:val="left"/>
            </w:pPr>
            <w:r>
              <w:t xml:space="preserve">7.08 ( 6.32 - 7.78 )</w:t>
            </w:r>
          </w:p>
        </w:tc>
        <w:tc>
          <w:p>
            <w:pPr>
              <w:pStyle w:val="Compact"/>
              <w:jc w:val="left"/>
            </w:pPr>
            <w:r>
              <w:t xml:space="preserve">-</w:t>
            </w:r>
          </w:p>
        </w:tc>
      </w:tr>
      <w:tr>
        <w:tc>
          <w:p>
            <w:pPr>
              <w:pStyle w:val="Compact"/>
              <w:jc w:val="left"/>
            </w:pPr>
            <w:r>
              <w:t xml:space="preserve">Blunt Trauma</w:t>
            </w:r>
          </w:p>
        </w:tc>
        <w:tc>
          <w:p>
            <w:pPr>
              <w:pStyle w:val="Compact"/>
              <w:jc w:val="left"/>
            </w:pPr>
            <w:r>
              <w:t xml:space="preserve">-</w:t>
            </w:r>
          </w:p>
        </w:tc>
        <w:tc>
          <w:p>
            <w:pPr>
              <w:pStyle w:val="Compact"/>
              <w:jc w:val="left"/>
            </w:pPr>
            <w:r>
              <w:t xml:space="preserve">-7.08 ( -7.78 - -6.32 )</w:t>
            </w:r>
          </w:p>
        </w:tc>
      </w:tr>
    </w:tbl>
    <w:bookmarkEnd w:id="42"/>
    <w:bookmarkEnd w:id="43"/>
    <w:bookmarkStart w:id="48" w:name="discussion"/>
    <w:p>
      <w:pPr>
        <w:pStyle w:val="Heading1"/>
      </w:pPr>
      <w:r>
        <w:t xml:space="preserve">Discussion</w:t>
      </w:r>
    </w:p>
    <w:p>
      <w:pPr>
        <w:pStyle w:val="FirstParagraph"/>
      </w:pPr>
      <w:r>
        <w:t xml:space="preserve">Today it is poorly understood wether the frequency of OFI varies between different trauma subgroups. The purpose of this study was to asses the OFI Frequencies for some of the clinically impotent trauma subgroups in a registry based cohort study.</w:t>
      </w:r>
    </w:p>
    <w:p>
      <w:pPr>
        <w:pStyle w:val="BodyText"/>
      </w:pPr>
      <w:r>
        <w:t xml:space="preserve">It was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men and women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surprising. To the best of our knowledge there is no existing research indicating that abdominal trauma has ha higher frequency of OFI, mortality or preventable death. I can only speculate why this higher OFI frequency has been found. For example, one reason could be that those admitted to a level one trauma center with the primary injury located in the abdomen has suffered from a more extensive trauma then the other subgroups. Or that an abdominal trauma is not always as obvious in the primary pree hospital examinations or in the trauma room as the average head or thorax trauma for example. It can however be established that there is a statistically significant higher OFI frequency in the abdomen subgroup compared with the other body regions.</w:t>
      </w:r>
    </w:p>
    <w:p>
      <w:pPr>
        <w:pStyle w:val="BodyText"/>
      </w:pPr>
      <w:r>
        <w:t xml:space="preserve">The find of a higher OFI frequency in major trauma compared with minor trauma is consistent with previous research. The mortality has been found to be higher in Major trauma cohort than in Minor trauma.</w:t>
      </w:r>
      <w:r>
        <w:t xml:space="preserve"> </w:t>
      </w:r>
      <w:r>
        <w:t xml:space="preserve">(6)</w:t>
      </w:r>
      <w:r>
        <w:t xml:space="preserve"> </w:t>
      </w:r>
      <w:r>
        <w:t xml:space="preserve">(fler källor på detta). That major and complex trauma has ha greater risk for non optimal trauma care was also consistent with the median NISS score results, as the median NISS was higher in the OFI cohort then in the non ofi cohort. What can be seen from previous studies is that there is a correlation between NISS and Preventable death(källa, Jonatan som sa detta men hittar ingen källa).</w:t>
      </w:r>
    </w:p>
    <w:p>
      <w:pPr>
        <w:pStyle w:val="BodyText"/>
      </w:pPr>
      <w:r>
        <w:t xml:space="preserve">It is however not those with the highest NISS that has the highest frequency of preventable deaths. Instead it is the patients with a NISS between 30-50.(källa, Jonatan som sa detta men hittar ingen källa) One explanation for this could be that those patients are not injured enough for it to be obvious that all resources possible should be used to treat the patient. Those with the highest NISS scores are on the other hand so severely injured that everything possible is done to treat them. If those patients die, it is less likely that is was preventable, since everything that could be done in terms of treatment was done. In this this study though, a binary outcome measure was used by either classifying a trauma as minor or major. Because of that spread of NISS among OFI patients will not be as nuanced as it could have been.</w:t>
      </w:r>
    </w:p>
    <w:p>
      <w:pPr>
        <w:pStyle w:val="BodyText"/>
      </w:pPr>
      <w:r>
        <w:t xml:space="preserve">Both data from SWETRAU and previous studies show that men are over represented in trauma patients.[</w:t>
      </w:r>
      <w:r>
        <w:t xml:space="preserve">(23)</w:t>
      </w:r>
      <w:r>
        <w:t xml:space="preserve">, [4]] Even though men in this study had a higher OFI frequency then women, the difference was not statisticly significant. There is however previous research showing that men have a higher frequency of trauma mortality. Bolandparvaz et al fond that males had a higher risk for trauma mortality[5]. Pape et al showed that females were less likely to die after trauma [7]. Davoodabadi et al. found that there was no difference between the genders in preventable deaths after trauma [6]. One explanation for these differences could be that men and women suffer from different kinds of trauma. For example the majority of penetraiting trauma patients are men</w:t>
      </w:r>
      <w:r>
        <w:t xml:space="preserve"> </w:t>
      </w:r>
      <w:r>
        <w:t xml:space="preserve">(23)</w:t>
      </w:r>
      <w:r>
        <w:t xml:space="preserve">.</w:t>
      </w:r>
    </w:p>
    <w:p>
      <w:pPr>
        <w:pStyle w:val="BodyText"/>
      </w:pPr>
      <w:r>
        <w:t xml:space="preserve">The study also shows a higher mean age in the OFI chort than in the non OFI cohort. Meaning that the older the patient is the higher is the risk for non optimal trauma care. Ang et al found that patients between 75-84 years old had a 33% higher odds for preventable death, and thos over 85 years had a 91% higher risk[8]. Previous research has also shown an in increased mortality rate in older trauma patients, which in part potentially could be explained by sub optimal trauma care[1,2].</w:t>
      </w:r>
    </w:p>
    <w:bookmarkStart w:id="44"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and trauma subgroups. The quality database that was used is also one of the largest databases that exist with data on living trauma patients</w:t>
      </w:r>
      <w:r>
        <w:t xml:space="preserve"> </w:t>
      </w:r>
      <w:r>
        <w:t xml:space="preserve">. Another strength is that all programming and calculations was first done on scrambled data to minimize the risk for bias.</w:t>
      </w:r>
    </w:p>
    <w:p>
      <w:pPr>
        <w:pStyle w:val="BodyText"/>
      </w:pPr>
      <w:r>
        <w:t xml:space="preserve">It can be considred both a strength and a limitation that all data com from the same contaxt, namely the Karolinska University hospital in Solna. This means that strong conclusions can be made concerning the same hospital, and also for other similar Scandinavian level 1 trauma centers. These results can most likely not on the other hand be used to the same extent in other Swedish hospitals and even less in LMIC hospitals, which must be seen as a limitation.</w:t>
      </w:r>
    </w:p>
    <w:p>
      <w:pPr>
        <w:pStyle w:val="BodyText"/>
      </w:pPr>
      <w:r>
        <w:t xml:space="preserve">Another limitations in the study is the time frame. Data has been used that was collected from 2011 to 2021. It is likely that some trauma cases that had OFI back in 2011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2011.</w:t>
      </w:r>
    </w:p>
    <w:p>
      <w:pPr>
        <w:pStyle w:val="BodyText"/>
      </w:pPr>
      <w:r>
        <w:t xml:space="preserve">Furthermore this is a single-site study, making it harder to draw general conclusions from the results. As the total number of patients is relatively small, the size of some of the more uncommon trauma cohorts are very small, which is something one must keep in mind when studying the results. Since this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bookmarkEnd w:id="44"/>
    <w:bookmarkStart w:id="46" w:name="clinicalpractical-applications"/>
    <w:p>
      <w:pPr>
        <w:pStyle w:val="Heading2"/>
      </w:pPr>
      <w:r>
        <w:t xml:space="preserve">Clinical/Practical applications</w:t>
      </w:r>
    </w:p>
    <w:p>
      <w:pPr>
        <w:pStyle w:val="FirstParagraph"/>
      </w:pPr>
      <w:r>
        <w:t xml:space="preserve">This study may lead to increased awareness about which subgroups has highest OFI frequencies. That may in turn lead to a more careful assessment and treatment of these types of traumas. Hopefully it will also lead to further research.(Svårt att komma på mer att skriva här, förslag på annan klinisk tillämpning?)</w:t>
      </w:r>
    </w:p>
    <w:p>
      <w:pPr>
        <w:pStyle w:val="BodyText"/>
      </w:pPr>
      <w:r>
        <w:t xml:space="preserve">As for health equity there are several different aspects in this study to discuss. The fact that elderly patients also in this study are indicated to receive non optimal trauma care is notable. As described earlier, old age has been shown in multiple studies to be a disadvantage. Even if it to some extent is natural that older patient has a lower survival rate after trauma due to fragility and co morbidity. The fact that it was shown in a new and extensive american study that also the preventable death was significantly higher in elder is however problematic [8]. Both in a moral aspect as well as in the eyes of the law, since everyone is entitled to the best care available.</w:t>
      </w:r>
    </w:p>
    <w:p>
      <w:pPr>
        <w:pStyle w:val="BodyText"/>
      </w:pPr>
      <w:r>
        <w:t xml:space="preserve">It has also been shown in previous research that socioeconomic status like low income, low education and also co-morbidity are independent risk factors for trauma [9]. The fact that co-morbidity is an independent risk factor might affect the generalizability since the results of this study may not apply to the part of the population without co-morbidity.</w:t>
      </w:r>
    </w:p>
    <w:p>
      <w:pPr>
        <w:pStyle w:val="BodyText"/>
      </w:pPr>
      <w:r>
        <w:t xml:space="preserve">The fact that males are predominant as trauma patients may also affect the generalizability. This because there is not close to the same amount of data about females in most of the trauma subgroups. On the other hand this is probably not a major problem since research show that there is no difference between the genders when it comes to preventable death [6].</w:t>
      </w:r>
    </w:p>
    <w:p>
      <w:pPr>
        <w:pStyle w:val="BodyText"/>
      </w:pPr>
      <w:r>
        <w:t xml:space="preserve">Another important aspect to discuss is the geographical differences in trauma care quality. As mentioned eariler in this paper, in Sweden there is a significantly higher chance of surviving a major trauma if you are treated at a trauma center compared with a non trauma center</w:t>
      </w:r>
      <w:r>
        <w:t xml:space="preserve">(3)</w:t>
      </w:r>
      <w:r>
        <w:t xml:space="preserve">. By extension this means that people living in urban areas have a greater chance to survive then those who live in the more remote part of Sweden. Those differences are only the national ones. WHO said in 2012 that millions of lives could be saved annualy if the LMICs had the same level of trauma care as the high income</w:t>
      </w:r>
      <w:r>
        <w:t xml:space="preserve"> </w:t>
      </w:r>
      <w:hyperlink r:id="rId45">
        <w:r>
          <w:rPr>
            <w:rStyle w:val="Hyperlink"/>
          </w:rPr>
          <w:t xml:space="preserve">countries@Mock2012-lx</w:t>
        </w:r>
      </w:hyperlink>
      <w:r>
        <w:t xml:space="preserve">.</w:t>
      </w:r>
    </w:p>
    <w:bookmarkEnd w:id="46"/>
    <w:bookmarkStart w:id="47" w:name="future-studies"/>
    <w:p>
      <w:pPr>
        <w:pStyle w:val="Heading2"/>
      </w:pPr>
      <w:r>
        <w:t xml:space="preserve">Future studies</w:t>
      </w:r>
    </w:p>
    <w:p>
      <w:pPr>
        <w:pStyle w:val="FirstParagraph"/>
      </w:pPr>
      <w:r>
        <w:t xml:space="preserve">In this study we assessed the frequency of OFI for different trauma subgroups. By knowing which trauma subgroups that has the highest OFI frequency it is possible to focus further research on these subgroups. That could for example be done by a registry based cohort study of what kind of OFIs that are the most frequent ones for the different subgroups. There could potentially be varying OFI patterns for different subgruops leading to diverse outcomes in terms of morbidity and mortality.</w:t>
      </w:r>
    </w:p>
    <w:p>
      <w:pPr>
        <w:pStyle w:val="BodyText"/>
      </w:pPr>
      <w:r>
        <w:t xml:space="preserve">It would also be interesting to investigate potential risk factors for OFI. This could be done by comparing factors like pre hospital vitals, time to arrival at the trauma center, co-morbidity to name a few. By knowing what kind of risk factors that increase the risk for OFI, OFI could in some cases potentially be prevented. This kind of study could also be done as a registry based cohort study using the same trauma registries as our study.</w:t>
      </w:r>
    </w:p>
    <w:bookmarkEnd w:id="47"/>
    <w:bookmarkEnd w:id="48"/>
    <w:bookmarkStart w:id="49" w:name="conclusion"/>
    <w:p>
      <w:pPr>
        <w:pStyle w:val="Heading1"/>
      </w:pPr>
      <w:r>
        <w:t xml:space="preserve">Conclusion</w:t>
      </w:r>
    </w:p>
    <w:bookmarkEnd w:id="49"/>
    <w:bookmarkStart w:id="50"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be leaked about the patients. For example all data was scrambled for as long as possible, and to get access to the unscrambled data a VPN had to be used. Even then, the social security number of all patients were scrabled. There is still a theoretical risk that a patient could be identified based on age, gender, trauma type and other information in the registries. This risk is however very small given the large number of patients.</w:t>
      </w:r>
    </w:p>
    <w:p>
      <w:pPr>
        <w:pStyle w:val="BodyText"/>
      </w:pPr>
      <w:r>
        <w:t xml:space="preserve">As this is a study based on data from severely injured and deceased people, it must be concidered a vulnerable patient group. But since trauma patients were the patient group that needed to be studied, no other patient group would have been sufficient. And as this was a registry based study, no interventions were made that could harm the patients.</w:t>
      </w:r>
    </w:p>
    <w:p>
      <w:pPr>
        <w:pStyle w:val="BodyText"/>
      </w:pPr>
      <w:r>
        <w:t xml:space="preserve">Possible benefits from these type of studies are the possibility that the result can improve the trauma care and by that decrease morbidity and mortality for trauma patients. Therefore the conslusion is that the potiential risks of this study is overtuned by the possible bennefits.</w:t>
      </w:r>
    </w:p>
    <w:p>
      <w:pPr>
        <w:pStyle w:val="BodyText"/>
      </w:pPr>
      <w:r>
        <w:t xml:space="preserve">Ethical permission has been granted for this project. Dnr number for this permission is 2021-02541 and 2021-0253.</w:t>
      </w:r>
    </w:p>
    <w:bookmarkEnd w:id="50"/>
    <w:bookmarkStart w:id="89" w:name="references"/>
    <w:p>
      <w:pPr>
        <w:pStyle w:val="Heading1"/>
      </w:pPr>
      <w:r>
        <w:t xml:space="preserve">References</w:t>
      </w:r>
    </w:p>
    <w:bookmarkStart w:id="88"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69" w:name="ref-Sanddal2011-cl"/>
    <w:p>
      <w:pPr>
        <w:pStyle w:val="Bibliography"/>
      </w:pPr>
      <w:r>
        <w:t xml:space="preserve">18.</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69"/>
    <w:bookmarkStart w:id="71" w:name="ref-OReilly2013"/>
    <w:p>
      <w:pPr>
        <w:pStyle w:val="Bibliography"/>
      </w:pPr>
      <w:r>
        <w:t xml:space="preserve">19.</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0">
        <w:r>
          <w:rPr>
            <w:rStyle w:val="Hyperlink"/>
          </w:rPr>
          <w:t xml:space="preserve">http://dx.doi.org/10.1002/bjs.9096</w:t>
        </w:r>
      </w:hyperlink>
    </w:p>
    <w:bookmarkEnd w:id="71"/>
    <w:bookmarkStart w:id="73" w:name="ref-Traumaguidelines09"/>
    <w:p>
      <w:pPr>
        <w:pStyle w:val="Bibliography"/>
      </w:pPr>
      <w:r>
        <w:t xml:space="preserve">20.</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2">
        <w:r>
          <w:rPr>
            <w:rStyle w:val="Hyperlink"/>
          </w:rPr>
          <w:t xml:space="preserve">https://apps.who.int/iris/bitstream/handle/10665/44061/9789241597746_eng.pdf?sequence=1&amp;isAllowed=y</w:t>
        </w:r>
      </w:hyperlink>
    </w:p>
    <w:bookmarkEnd w:id="73"/>
    <w:bookmarkStart w:id="74" w:name="ref-Montmany2016-hz"/>
    <w:p>
      <w:pPr>
        <w:pStyle w:val="Bibliography"/>
      </w:pPr>
      <w:r>
        <w:t xml:space="preserve">21.</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4"/>
    <w:bookmarkStart w:id="75" w:name="ref-Coats2020-wj"/>
    <w:p>
      <w:pPr>
        <w:pStyle w:val="Bibliography"/>
      </w:pPr>
      <w:r>
        <w:t xml:space="preserve">22.</w:t>
      </w:r>
      <w:r>
        <w:t xml:space="preserve"> </w:t>
      </w:r>
      <w:r>
        <w:t xml:space="preserve">	</w:t>
      </w:r>
      <w:r>
        <w:t xml:space="preserve">Coats T. Blunt major trauma: Now two different diseases? Br J Hosp Med (Lond). 2020 Apr;81(4):1–3.</w:t>
      </w:r>
      <w:r>
        <w:t xml:space="preserve"> </w:t>
      </w:r>
    </w:p>
    <w:bookmarkEnd w:id="75"/>
    <w:bookmarkStart w:id="77" w:name="ref-arsrapportswetrau"/>
    <w:p>
      <w:pPr>
        <w:pStyle w:val="Bibliography"/>
      </w:pPr>
      <w:r>
        <w:t xml:space="preserve">23.</w:t>
      </w:r>
      <w:r>
        <w:t xml:space="preserve"> </w:t>
      </w:r>
      <w:r>
        <w:t xml:space="preserve">	</w:t>
      </w:r>
      <w:r>
        <w:t xml:space="preserve">Svenska traumaregistret (SweTrau). Årsrapport 2021. [cited 2022 Sep 23]; Available from:</w:t>
      </w:r>
      <w:r>
        <w:t xml:space="preserve"> </w:t>
      </w:r>
      <w:hyperlink r:id="rId76">
        <w:r>
          <w:rPr>
            <w:rStyle w:val="Hyperlink"/>
          </w:rPr>
          <w:t xml:space="preserve">https://rcsyd.se/swetrau/om-swetrau/arsrapporter</w:t>
        </w:r>
      </w:hyperlink>
    </w:p>
    <w:bookmarkEnd w:id="77"/>
    <w:bookmarkStart w:id="79" w:name="ref-swetrau"/>
    <w:p>
      <w:pPr>
        <w:pStyle w:val="Bibliography"/>
      </w:pPr>
      <w:r>
        <w:t xml:space="preserve">24.</w:t>
      </w:r>
      <w:r>
        <w:t xml:space="preserve"> </w:t>
      </w:r>
      <w:r>
        <w:t xml:space="preserve">	</w:t>
      </w:r>
      <w:r>
        <w:t xml:space="preserve">Svenska traumaregistret (SweTrau). THE SWEDISH TRAUMA REGISTRY (SWETRAU). [cited 2022 Sep 23]; Available from:</w:t>
      </w:r>
      <w:r>
        <w:t xml:space="preserve"> </w:t>
      </w:r>
      <w:hyperlink r:id="rId78">
        <w:r>
          <w:rPr>
            <w:rStyle w:val="Hyperlink"/>
          </w:rPr>
          <w:t xml:space="preserve">https://rcsyd.se/swetrau/om-swetrau/about-swetrau-in-english/swetrau-the-swedish-trauma-registry</w:t>
        </w:r>
      </w:hyperlink>
    </w:p>
    <w:bookmarkEnd w:id="79"/>
    <w:bookmarkStart w:id="81"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0">
        <w:r>
          <w:rPr>
            <w:rStyle w:val="Hyperlink"/>
          </w:rPr>
          <w:t xml:space="preserve">https://news.cision.com/karolinska-universitetssjukhuset/r/karolinska-university-hospital-is-the-eighth-best-hospital-in-the-world,c3517653</w:t>
        </w:r>
      </w:hyperlink>
    </w:p>
    <w:bookmarkEnd w:id="81"/>
    <w:bookmarkStart w:id="83"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2">
        <w:r>
          <w:rPr>
            <w:rStyle w:val="Hyperlink"/>
          </w:rPr>
          <w:t xml:space="preserve">https://www.karolinska.se/for-vardgivare/tema-akut-och-reparativ-medicin/trauma-akutkirurgi-och-ortopedi/traumacentrum/</w:t>
        </w:r>
      </w:hyperlink>
    </w:p>
    <w:bookmarkEnd w:id="83"/>
    <w:bookmarkStart w:id="84"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4"/>
    <w:bookmarkStart w:id="85"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5"/>
    <w:bookmarkStart w:id="87"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6">
        <w:r>
          <w:rPr>
            <w:rStyle w:val="Hyperlink"/>
          </w:rPr>
          <w:t xml:space="preserve">https://www.R-project.org/</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hyperlink" Id="rId70" Target="http://dx.doi.org/10.1002/bjs.9096" TargetMode="External" /><Relationship Type="http://schemas.openxmlformats.org/officeDocument/2006/relationships/hyperlink" Id="rId72"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78" Target="https://rcsyd.se/swetrau/om-swetrau/about-swetrau-in-english/swetrau-the-swedish-trauma-registry" TargetMode="External" /><Relationship Type="http://schemas.openxmlformats.org/officeDocument/2006/relationships/hyperlink" Id="rId76"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 Type="http://schemas.openxmlformats.org/officeDocument/2006/relationships/hyperlink" Id="rId45" Target="mailto:countries@Mock2012-lx" TargetMode="External" /></Relationships>
</file>

<file path=word/_rels/footnotes.xml.rels><?xml version="1.0" encoding="UTF-8"?>
<Relationships xmlns="http://schemas.openxmlformats.org/package/2006/relationships"><Relationship Type="http://schemas.openxmlformats.org/officeDocument/2006/relationships/hyperlink" Id="rId70" Target="http://dx.doi.org/10.1002/bjs.9096" TargetMode="External" /><Relationship Type="http://schemas.openxmlformats.org/officeDocument/2006/relationships/hyperlink" Id="rId72"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78" Target="https://rcsyd.se/swetrau/om-swetrau/about-swetrau-in-english/swetrau-the-swedish-trauma-registry" TargetMode="External" /><Relationship Type="http://schemas.openxmlformats.org/officeDocument/2006/relationships/hyperlink" Id="rId76"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 Type="http://schemas.openxmlformats.org/officeDocument/2006/relationships/hyperlink" Id="rId45" Target="mailto:countries@Mock2012-l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2022-12-09T11:11:24Z</dcterms:created>
  <dcterms:modified xsi:type="dcterms:W3CDTF">2022-12-09T11:11:24Z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