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40" w:lineRule="auto"/>
      </w:pPr>
      <w:r>
        <w:rPr>
          <w:rFonts w:ascii="Times New Roman" w:hAnsi="Times New Roman" w:eastAsia="宋体"/>
          <w:b/>
          <w:color w:val="000000"/>
          <w:sz w:val="32"/>
        </w:rPr>
        <w:t>文档问题检索整理</w:t>
      </w:r>
    </w:p>
    <w:p>
      <w:pPr>
        <w:spacing w:line="240" w:lineRule="auto"/>
      </w:pPr>
      <w:r>
        <w:rPr>
          <w:rFonts w:ascii="Times New Roman" w:hAnsi="Times New Roman" w:eastAsia="宋体"/>
          <w:color w:val="000000"/>
          <w:sz w:val="21"/>
        </w:rPr>
        <w:t>问题：车站办理相对方向同时接发列车时有哪些安全要求？</w:t>
      </w:r>
    </w:p>
    <w:p>
      <w:pPr>
        <w:spacing w:line="240" w:lineRule="auto"/>
      </w:pPr>
      <w:r>
        <w:rPr>
          <w:rFonts w:ascii="Times New Roman" w:hAnsi="Times New Roman" w:eastAsia="宋体"/>
          <w:color w:val="000000"/>
          <w:sz w:val="21"/>
        </w:rPr>
        <w:t>核心关键词：相对方向同时、同时接发列车、安全要求</w:t>
      </w:r>
    </w:p>
    <w:p>
      <w:pPr>
        <w:spacing w:line="240" w:lineRule="auto"/>
      </w:pPr>
      <w:r>
        <w:rPr>
          <w:rFonts w:ascii="Times New Roman" w:hAnsi="Times New Roman" w:eastAsia="宋体"/>
          <w:color w:val="000000"/>
          <w:sz w:val="21"/>
        </w:rPr>
        <w:t>检索到 12 条原文片段，去重整理为 2 条唯一表述。以下内容均来自文档原文。</w:t>
      </w:r>
    </w:p>
    <w:p>
      <w:pPr>
        <w:pStyle w:val="Heading1"/>
        <w:spacing w:line="240" w:lineRule="auto"/>
      </w:pPr>
      <w:r>
        <w:rPr>
          <w:rFonts w:ascii="Times New Roman" w:hAnsi="Times New Roman" w:eastAsia="宋体"/>
          <w:color w:val="000000"/>
          <w:sz w:val="24"/>
        </w:rPr>
        <w:t>整理结果</w:t>
      </w:r>
    </w:p>
    <w:p>
      <w:pPr>
        <w:pStyle w:val="ListNumber"/>
        <w:spacing w:line="240" w:lineRule="auto"/>
      </w:pPr>
      <w:r>
        <w:rPr>
          <w:rFonts w:ascii="Times New Roman" w:hAnsi="Times New Roman" w:eastAsia="宋体"/>
          <w:color w:val="000000"/>
          <w:sz w:val="21"/>
        </w:rPr>
        <w:t>第353条 下列情况，禁止办理相对方向同时接车和同方向同时发接列车：进站信号机外制动距离内，进站方向为超过6‰的下坡道，而接车线末端无隔开设备。</w:t>
      </w:r>
    </w:p>
    <w:p>
      <w:pPr>
        <w:spacing w:line="240" w:lineRule="auto"/>
      </w:pPr>
      <w:r>
        <w:rPr>
          <w:rFonts w:ascii="Times New Roman" w:hAnsi="Times New Roman" w:eastAsia="宋体"/>
          <w:i/>
          <w:color w:val="000000"/>
          <w:sz w:val="21"/>
        </w:rPr>
        <w:t>来源：铁运〔2020〕153号车站行车工作细则.docx · 第 353 条</w:t>
      </w:r>
    </w:p>
    <w:p>
      <w:pPr>
        <w:spacing w:line="240" w:lineRule="auto"/>
      </w:pPr>
      <w:r>
        <w:rPr>
          <w:rFonts w:ascii="Times New Roman" w:hAnsi="Times New Roman" w:eastAsia="宋体"/>
          <w:b/>
          <w:color w:val="000000"/>
          <w:sz w:val="21"/>
        </w:rPr>
        <w:t>注意：与第 2 条可能存在表述冲突或版本差异，请结合文号和施行时间核对。</w:t>
      </w:r>
    </w:p>
    <w:p>
      <w:pPr>
        <w:pStyle w:val="ListNumber"/>
        <w:spacing w:line="240" w:lineRule="auto"/>
      </w:pPr>
      <w:r>
        <w:rPr>
          <w:rFonts w:ascii="Times New Roman" w:hAnsi="Times New Roman" w:eastAsia="宋体"/>
          <w:color w:val="000000"/>
          <w:sz w:val="21"/>
        </w:rPr>
        <w:t>在设备条件具备并采取安全措施时，可以办理相对方向同时接发列车。</w:t>
      </w:r>
    </w:p>
    <w:p>
      <w:pPr>
        <w:spacing w:line="240" w:lineRule="auto"/>
      </w:pPr>
      <w:r>
        <w:rPr>
          <w:rFonts w:ascii="Times New Roman" w:hAnsi="Times New Roman" w:eastAsia="宋体"/>
          <w:i/>
          <w:color w:val="000000"/>
          <w:sz w:val="21"/>
        </w:rPr>
        <w:t>来源：铁运〔2022〕88号补充规定.pdf · 第 12 页</w:t>
      </w:r>
    </w:p>
    <w:p>
      <w:pPr>
        <w:spacing w:line="240" w:lineRule="auto"/>
      </w:pPr>
      <w:r>
        <w:rPr>
          <w:rFonts w:ascii="Times New Roman" w:hAnsi="Times New Roman" w:eastAsia="宋体"/>
          <w:b/>
          <w:color w:val="000000"/>
          <w:sz w:val="21"/>
        </w:rPr>
        <w:t>注意：与第 1 条可能存在表述冲突或版本差异，请结合文号和施行时间核对。</w:t>
      </w:r>
    </w:p>
    <w:p>
      <w:pPr>
        <w:pStyle w:val="Heading1"/>
        <w:spacing w:line="240" w:lineRule="auto"/>
      </w:pPr>
      <w:r>
        <w:rPr>
          <w:rFonts w:ascii="Times New Roman" w:hAnsi="Times New Roman" w:eastAsia="宋体"/>
          <w:color w:val="000000"/>
          <w:sz w:val="24"/>
        </w:rPr>
        <w:t>使用的文档名称 / 文号</w:t>
      </w:r>
    </w:p>
    <w:p>
      <w:pPr>
        <w:pStyle w:val="ListBullet"/>
        <w:spacing w:line="240" w:lineRule="auto"/>
      </w:pPr>
      <w:r>
        <w:rPr>
          <w:rFonts w:ascii="Times New Roman" w:hAnsi="Times New Roman" w:eastAsia="宋体"/>
          <w:color w:val="000000"/>
          <w:sz w:val="21"/>
        </w:rPr>
        <w:t>铁运〔2020〕153号车站行车工作细则.docx / 铁运〔2020〕153号</w:t>
      </w:r>
    </w:p>
    <w:p>
      <w:pPr>
        <w:pStyle w:val="ListBullet"/>
        <w:spacing w:line="240" w:lineRule="auto"/>
      </w:pPr>
      <w:r>
        <w:rPr>
          <w:rFonts w:ascii="Times New Roman" w:hAnsi="Times New Roman" w:eastAsia="宋体"/>
          <w:color w:val="000000"/>
          <w:sz w:val="21"/>
        </w:rPr>
        <w:t>铁运〔2022〕88号补充规定.pdf / 铁运〔2022〕88号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