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题目：接发列车时有哪些安全要求？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答案：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第353条 接发列车时，应确认进路、信号及安全条件。</w:t>
        <w:br/>
        <w:t>办理作业时必须执行规定的联系制度。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出处：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【搜索源文件：车站行车工作细则.docx，文档片段位置：第353条】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题目：未找到答案的测试题？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答案：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【无】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出处：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【搜索源文件：未检索到匹配文档】</w:t>
      </w:r>
    </w:p>
    <w:p>
      <w:pPr>
        <w:spacing w:line="240" w:lineRule="auto"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/>
      <w:sz w:val="21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