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43178" w:rsidRDefault="00000000">
      <w:pPr>
        <w:spacing w:after="240" w:line="276" w:lineRule="auto"/>
        <w:jc w:val="both"/>
        <w:rPr>
          <w:rFonts w:ascii="Arial" w:eastAsia="Arial" w:hAnsi="Arial" w:cs="Arial"/>
          <w:b/>
          <w:bCs/>
          <w:sz w:val="28"/>
          <w:szCs w:val="28"/>
        </w:rPr>
      </w:pPr>
      <w:r>
        <w:rPr>
          <w:rFonts w:ascii="Arial" w:eastAsia="Arial" w:hAnsi="Arial" w:cs="Arial"/>
          <w:b/>
          <w:bCs/>
          <w:sz w:val="22"/>
          <w:szCs w:val="22"/>
        </w:rPr>
        <w:t>The Fate of Uncertainty in the Transformation from Absolute to Relative Magnitude</w:t>
      </w:r>
    </w:p>
    <w:p w14:paraId="00000002" w14:textId="221F4AFB" w:rsidR="00543178" w:rsidRDefault="00000000">
      <w:pPr>
        <w:spacing w:line="276" w:lineRule="auto"/>
        <w:jc w:val="both"/>
        <w:rPr>
          <w:rFonts w:ascii="Arial" w:eastAsia="Arial" w:hAnsi="Arial" w:cs="Arial" w:hint="eastAsia"/>
          <w:sz w:val="22"/>
          <w:szCs w:val="22"/>
        </w:rPr>
      </w:pPr>
      <w:proofErr w:type="spellStart"/>
      <w:r>
        <w:rPr>
          <w:rFonts w:ascii="Arial" w:eastAsia="Arial" w:hAnsi="Arial" w:cs="Arial"/>
          <w:sz w:val="22"/>
          <w:szCs w:val="22"/>
        </w:rPr>
        <w:t>Joonoh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Park</w:t>
      </w:r>
      <w:r w:rsidR="006C1D6E">
        <w:rPr>
          <w:rFonts w:ascii="Arial" w:eastAsia="Arial" w:hAnsi="Arial" w:cs="Arial"/>
          <w:sz w:val="22"/>
          <w:szCs w:val="22"/>
          <w:vertAlign w:val="superscript"/>
        </w:rPr>
        <w:t>1</w:t>
      </w:r>
      <w:r>
        <w:rPr>
          <w:rFonts w:ascii="Arial" w:eastAsia="Arial" w:hAnsi="Arial" w:cs="Arial"/>
          <w:sz w:val="22"/>
          <w:szCs w:val="22"/>
        </w:rPr>
        <w:t>, Sang-</w:t>
      </w:r>
      <w:proofErr w:type="spellStart"/>
      <w:r>
        <w:rPr>
          <w:rFonts w:ascii="Arial" w:eastAsia="Arial" w:hAnsi="Arial" w:cs="Arial"/>
          <w:sz w:val="22"/>
          <w:szCs w:val="22"/>
        </w:rPr>
        <w:t>hun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Lee</w:t>
      </w:r>
      <w:r w:rsidR="006C1D6E">
        <w:rPr>
          <w:rFonts w:ascii="Arial" w:eastAsia="Arial" w:hAnsi="Arial" w:cs="Arial"/>
          <w:sz w:val="22"/>
          <w:szCs w:val="22"/>
          <w:vertAlign w:val="superscript"/>
        </w:rPr>
        <w:t>1</w:t>
      </w:r>
      <w:r>
        <w:rPr>
          <w:rFonts w:ascii="Arial" w:eastAsia="Arial" w:hAnsi="Arial" w:cs="Arial"/>
          <w:sz w:val="22"/>
          <w:szCs w:val="22"/>
          <w:vertAlign w:val="superscript"/>
        </w:rPr>
        <w:t>†</w:t>
      </w:r>
    </w:p>
    <w:p w14:paraId="00000003" w14:textId="77777777" w:rsidR="00543178" w:rsidRDefault="00000000">
      <w:pPr>
        <w:spacing w:after="0" w:line="276" w:lineRule="auto"/>
        <w:jc w:val="both"/>
        <w:rPr>
          <w:rFonts w:ascii="Arial" w:eastAsia="Arial" w:hAnsi="Arial" w:cs="Arial"/>
          <w:color w:val="FF0000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1 Department of Brain and Cognitive Sciences, Seoul National University, Republic of Korea</w:t>
      </w:r>
    </w:p>
    <w:p w14:paraId="00000004" w14:textId="77777777" w:rsidR="00543178" w:rsidRDefault="00000000">
      <w:pPr>
        <w:spacing w:after="0" w:line="276" w:lineRule="auto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  <w:vertAlign w:val="superscript"/>
        </w:rPr>
        <w:t>†</w:t>
      </w:r>
      <w:r>
        <w:rPr>
          <w:rFonts w:ascii="Arial" w:eastAsia="Arial" w:hAnsi="Arial" w:cs="Arial"/>
          <w:sz w:val="22"/>
          <w:szCs w:val="22"/>
        </w:rPr>
        <w:t xml:space="preserve"> Corresponding author</w:t>
      </w:r>
    </w:p>
    <w:p w14:paraId="00000005" w14:textId="77777777" w:rsidR="00543178" w:rsidRDefault="00543178">
      <w:pPr>
        <w:widowControl w:val="0"/>
        <w:spacing w:after="240" w:line="276" w:lineRule="auto"/>
        <w:rPr>
          <w:rFonts w:ascii="Arial" w:eastAsia="Arial" w:hAnsi="Arial" w:cs="Arial"/>
          <w:b/>
          <w:bCs/>
          <w:sz w:val="22"/>
          <w:szCs w:val="22"/>
        </w:rPr>
      </w:pPr>
    </w:p>
    <w:p w14:paraId="00000006" w14:textId="08ECB543" w:rsidR="00543178" w:rsidRDefault="00000000" w:rsidP="00D01E4E">
      <w:pPr>
        <w:widowControl w:val="0"/>
        <w:spacing w:after="0" w:line="276" w:lineRule="auto"/>
        <w:ind w:firstLine="720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Everyday magnitude judgments are context-dependent: a large rat may still be smaller than a small cat. Such judgments require transforming an absolute magnitude (</w:t>
      </w:r>
      <m:oMath>
        <m:r>
          <w:rPr>
            <w:rFonts w:ascii="Cambria Math" w:hAnsi="Cambria Math"/>
          </w:rPr>
          <m:t>θ</m:t>
        </m:r>
      </m:oMath>
      <w:r>
        <w:rPr>
          <w:rFonts w:ascii="Arial" w:eastAsia="Arial" w:hAnsi="Arial" w:cs="Arial"/>
          <w:sz w:val="22"/>
          <w:szCs w:val="22"/>
        </w:rPr>
        <w:t>) into its relative position</w:t>
      </w:r>
      <w:r w:rsidR="0000379F">
        <w:rPr>
          <w:rFonts w:ascii="Arial" w:eastAsia="Arial" w:hAnsi="Arial" w:cs="Arial" w:hint="eastAsia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(</w:t>
      </w:r>
      <m:oMath>
        <m:r>
          <w:rPr>
            <w:rFonts w:ascii="Cambria Math" w:hAnsi="Cambria Math"/>
          </w:rPr>
          <m:t>ρ</m:t>
        </m:r>
      </m:oMath>
      <w:r>
        <w:rPr>
          <w:rFonts w:ascii="Arial" w:eastAsia="Arial" w:hAnsi="Arial" w:cs="Arial"/>
          <w:sz w:val="22"/>
          <w:szCs w:val="22"/>
        </w:rPr>
        <w:t>) within a context (</w:t>
      </w:r>
      <w:r>
        <w:rPr>
          <w:rFonts w:ascii="Cambria Math" w:eastAsia="Cambria Math" w:hAnsi="Cambria Math" w:cs="Cambria Math"/>
          <w:i/>
          <w:iCs/>
          <w:sz w:val="22"/>
          <w:szCs w:val="22"/>
        </w:rPr>
        <w:t>c</w:t>
      </w:r>
      <w:r>
        <w:rPr>
          <w:rFonts w:ascii="Arial" w:eastAsia="Arial" w:hAnsi="Arial" w:cs="Arial"/>
          <w:sz w:val="22"/>
          <w:szCs w:val="22"/>
        </w:rPr>
        <w:t xml:space="preserve">). This flexible transformation is formalized as: </w:t>
      </w:r>
      <m:oMath>
        <m:r>
          <w:rPr>
            <w:rFonts w:ascii="Cambria Math" w:hAnsi="Cambria Math"/>
          </w:rPr>
          <m:t>ρ</m:t>
        </m:r>
      </m:oMath>
      <w:r w:rsidRPr="00DF1547">
        <w:rPr>
          <w:rFonts w:ascii="Cambria Math" w:eastAsia="Cambria Math" w:hAnsi="Cambria Math" w:cs="Cambria Math"/>
          <w:sz w:val="22"/>
          <w:szCs w:val="22"/>
        </w:rPr>
        <w:t xml:space="preserve"> = </w:t>
      </w:r>
      <w:proofErr w:type="gramStart"/>
      <w:r w:rsidRPr="00DF1547">
        <w:rPr>
          <w:rFonts w:ascii="Cambria Math" w:eastAsia="Cambria Math" w:hAnsi="Cambria Math" w:cs="Cambria Math"/>
          <w:i/>
          <w:iCs/>
          <w:sz w:val="22"/>
          <w:szCs w:val="22"/>
        </w:rPr>
        <w:t>F</w:t>
      </w:r>
      <w:r w:rsidRPr="00DF1547">
        <w:rPr>
          <w:rFonts w:ascii="Cambria Math" w:eastAsia="Cambria Math" w:hAnsi="Cambria Math" w:cs="Cambria Math"/>
          <w:sz w:val="22"/>
          <w:szCs w:val="22"/>
          <w:vertAlign w:val="subscript"/>
        </w:rPr>
        <w:t>c</w:t>
      </w:r>
      <w:r w:rsidRPr="00DF1547">
        <w:rPr>
          <w:rFonts w:ascii="Cambria Math" w:eastAsia="Cambria Math" w:hAnsi="Cambria Math" w:cs="Cambria Math"/>
          <w:sz w:val="22"/>
          <w:szCs w:val="22"/>
        </w:rPr>
        <w:t>(</w:t>
      </w:r>
      <w:proofErr w:type="gramEnd"/>
      <m:oMath>
        <m:r>
          <w:rPr>
            <w:rFonts w:ascii="Cambria Math" w:hAnsi="Cambria Math"/>
          </w:rPr>
          <m:t>θ</m:t>
        </m:r>
      </m:oMath>
      <w:r w:rsidRPr="00DF1547">
        <w:rPr>
          <w:rFonts w:ascii="Cambria Math" w:eastAsia="Cambria Math" w:hAnsi="Cambria Math" w:cs="Cambria Math"/>
          <w:sz w:val="22"/>
          <w:szCs w:val="22"/>
        </w:rPr>
        <w:t>)</w:t>
      </w:r>
      <w:r w:rsidRPr="00DF1547">
        <w:rPr>
          <w:rFonts w:ascii="Cambria Math" w:eastAsia="Arial" w:hAnsi="Cambria Math" w:cs="Arial"/>
          <w:sz w:val="22"/>
          <w:szCs w:val="22"/>
        </w:rPr>
        <w:t>,</w:t>
      </w:r>
      <w:r>
        <w:rPr>
          <w:rFonts w:ascii="Arial" w:eastAsia="Arial" w:hAnsi="Arial" w:cs="Arial"/>
          <w:sz w:val="22"/>
          <w:szCs w:val="22"/>
        </w:rPr>
        <w:t xml:space="preserve"> where </w:t>
      </w:r>
      <w:r>
        <w:rPr>
          <w:rFonts w:ascii="Cambria Math" w:eastAsia="Cambria Math" w:hAnsi="Cambria Math" w:cs="Cambria Math"/>
          <w:i/>
          <w:iCs/>
          <w:sz w:val="22"/>
          <w:szCs w:val="22"/>
        </w:rPr>
        <w:t>F</w:t>
      </w:r>
      <w:r>
        <w:rPr>
          <w:rFonts w:ascii="Cambria Math" w:eastAsia="Cambria Math" w:hAnsi="Cambria Math" w:cs="Cambria Math"/>
          <w:sz w:val="22"/>
          <w:szCs w:val="22"/>
          <w:vertAlign w:val="subscript"/>
        </w:rPr>
        <w:t xml:space="preserve">c </w:t>
      </w:r>
      <w:r>
        <w:rPr>
          <w:rFonts w:ascii="Arial" w:eastAsia="Arial" w:hAnsi="Arial" w:cs="Arial"/>
          <w:sz w:val="22"/>
          <w:szCs w:val="22"/>
        </w:rPr>
        <w:t>is the context’s cumulative distribution function (</w:t>
      </w:r>
      <w:r w:rsidRPr="00DF1547">
        <w:rPr>
          <w:rFonts w:ascii="Cambria Math" w:eastAsia="Arial" w:hAnsi="Cambria Math" w:cs="Arial"/>
          <w:sz w:val="22"/>
          <w:szCs w:val="22"/>
        </w:rPr>
        <w:t>CDF</w:t>
      </w:r>
      <w:r>
        <w:rPr>
          <w:rFonts w:ascii="Arial" w:eastAsia="Arial" w:hAnsi="Arial" w:cs="Arial"/>
          <w:sz w:val="22"/>
          <w:szCs w:val="22"/>
        </w:rPr>
        <w:t>). Perception, however, yields an uncertain posterior belie</w:t>
      </w:r>
      <w:r w:rsidRPr="00DF1547">
        <w:rPr>
          <w:rFonts w:ascii="Cambria Math" w:eastAsia="Arial" w:hAnsi="Cambria Math" w:cs="Arial"/>
          <w:sz w:val="22"/>
          <w:szCs w:val="22"/>
        </w:rPr>
        <w:t>f</w:t>
      </w:r>
      <w:r w:rsidR="00DF1547">
        <w:rPr>
          <w:rFonts w:ascii="Cambria Math" w:eastAsia="Arial" w:hAnsi="Cambria Math" w:cs="Arial" w:hint="eastAsia"/>
          <w:sz w:val="22"/>
          <w:szCs w:val="22"/>
        </w:rPr>
        <w:t xml:space="preserve"> </w:t>
      </w:r>
      <m:oMath>
        <m:r>
          <w:rPr>
            <w:rFonts w:ascii="Cambria Math" w:eastAsia="Arial" w:hAnsi="Cambria Math" w:cs="Arial"/>
            <w:sz w:val="22"/>
            <w:szCs w:val="22"/>
          </w:rPr>
          <m:t>p(θ|</m:t>
        </m:r>
        <m:r>
          <w:rPr>
            <w:rFonts w:ascii="Cambria Math" w:eastAsia="Arial" w:hAnsi="Cambria Math" w:cs="Arial"/>
            <w:sz w:val="22"/>
            <w:szCs w:val="22"/>
          </w:rPr>
          <m:t>m</m:t>
        </m:r>
        <m:r>
          <w:rPr>
            <w:rFonts w:ascii="Cambria Math" w:eastAsia="Arial" w:hAnsi="Cambria Math" w:cs="Arial"/>
            <w:sz w:val="22"/>
            <w:szCs w:val="22"/>
          </w:rPr>
          <m:t>)</m:t>
        </m:r>
      </m:oMath>
      <w:r>
        <w:rPr>
          <w:rFonts w:ascii="Arial" w:eastAsia="Arial" w:hAnsi="Arial" w:cs="Arial"/>
          <w:sz w:val="22"/>
          <w:szCs w:val="22"/>
        </w:rPr>
        <w:t xml:space="preserve"> rather than an exact value of </w:t>
      </w:r>
      <m:oMath>
        <m:r>
          <w:rPr>
            <w:rFonts w:ascii="Arial" w:eastAsia="Arial" w:hAnsi="Arial" w:cs="Arial"/>
            <w:sz w:val="22"/>
            <w:szCs w:val="22"/>
          </w:rPr>
          <m:t xml:space="preserve"> θ</m:t>
        </m:r>
      </m:oMath>
      <w:r>
        <w:rPr>
          <w:rFonts w:ascii="Arial" w:eastAsia="Arial" w:hAnsi="Arial" w:cs="Arial"/>
          <w:sz w:val="22"/>
          <w:szCs w:val="22"/>
        </w:rPr>
        <w:t xml:space="preserve">. Whether this uncertainty is discarded or preserved during the transformation remains unknown. </w:t>
      </w:r>
    </w:p>
    <w:p w14:paraId="00000007" w14:textId="77777777" w:rsidR="00543178" w:rsidRDefault="00543178" w:rsidP="00D01E4E">
      <w:pPr>
        <w:widowControl w:val="0"/>
        <w:spacing w:after="0" w:line="276" w:lineRule="auto"/>
        <w:jc w:val="both"/>
        <w:rPr>
          <w:rFonts w:ascii="Arial" w:eastAsia="Arial" w:hAnsi="Arial" w:cs="Arial"/>
          <w:sz w:val="22"/>
          <w:szCs w:val="22"/>
        </w:rPr>
      </w:pPr>
    </w:p>
    <w:p w14:paraId="00000008" w14:textId="14E26E65" w:rsidR="00543178" w:rsidRDefault="00000000" w:rsidP="00D01E4E">
      <w:pPr>
        <w:widowControl w:val="0"/>
        <w:spacing w:after="0" w:line="276" w:lineRule="auto"/>
        <w:ind w:firstLine="720"/>
        <w:jc w:val="both"/>
        <w:rPr>
          <w:rFonts w:ascii="Arial" w:eastAsia="Arial" w:hAnsi="Arial" w:cs="Arial"/>
          <w:b/>
          <w:bCs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We contrast two hypotheses regarding the order of averaging and transformation. Under the </w:t>
      </w:r>
      <w:r>
        <w:rPr>
          <w:rFonts w:ascii="Arial" w:eastAsia="Arial" w:hAnsi="Arial" w:cs="Arial"/>
          <w:b/>
          <w:bCs/>
          <w:sz w:val="22"/>
          <w:szCs w:val="22"/>
        </w:rPr>
        <w:t>Point-estimate hypothesis (</w:t>
      </w:r>
      <w:r w:rsidRPr="00DF1547">
        <w:rPr>
          <w:rFonts w:ascii="Cambria Math" w:eastAsia="Arial" w:hAnsi="Cambria Math" w:cs="Arial"/>
          <w:b/>
          <w:bCs/>
          <w:i/>
          <w:iCs/>
          <w:sz w:val="22"/>
          <w:szCs w:val="22"/>
        </w:rPr>
        <w:t>H</w:t>
      </w:r>
      <w:r w:rsidRPr="00DF1547">
        <w:rPr>
          <w:rFonts w:ascii="Cambria Math" w:eastAsia="Arial" w:hAnsi="Cambria Math" w:cs="Arial"/>
          <w:b/>
          <w:bCs/>
          <w:sz w:val="22"/>
          <w:szCs w:val="22"/>
          <w:vertAlign w:val="subscript"/>
        </w:rPr>
        <w:t>1</w:t>
      </w:r>
      <w:r>
        <w:rPr>
          <w:rFonts w:ascii="Arial" w:eastAsia="Arial" w:hAnsi="Arial" w:cs="Arial"/>
          <w:b/>
          <w:bCs/>
          <w:sz w:val="22"/>
          <w:szCs w:val="22"/>
        </w:rPr>
        <w:t>)</w:t>
      </w:r>
      <w:r>
        <w:rPr>
          <w:rFonts w:ascii="Arial" w:eastAsia="Arial" w:hAnsi="Arial" w:cs="Arial"/>
          <w:sz w:val="22"/>
          <w:szCs w:val="22"/>
        </w:rPr>
        <w:t xml:space="preserve">, the posterior collapses into a single estimate before mapping, predicting </w:t>
      </w:r>
      <w:proofErr w:type="gramStart"/>
      <w:r>
        <w:rPr>
          <w:rFonts w:ascii="Cambria Math" w:eastAsia="Cambria Math" w:hAnsi="Cambria Math" w:cs="Cambria Math"/>
          <w:i/>
          <w:iCs/>
          <w:sz w:val="22"/>
          <w:szCs w:val="22"/>
        </w:rPr>
        <w:t>F</w:t>
      </w:r>
      <w:r>
        <w:rPr>
          <w:rFonts w:ascii="Cambria Math" w:eastAsia="Cambria Math" w:hAnsi="Cambria Math" w:cs="Cambria Math"/>
          <w:sz w:val="22"/>
          <w:szCs w:val="22"/>
          <w:vertAlign w:val="subscript"/>
        </w:rPr>
        <w:t>c</w:t>
      </w:r>
      <w:r>
        <w:rPr>
          <w:rFonts w:ascii="Cambria Math" w:eastAsia="Cambria Math" w:hAnsi="Cambria Math" w:cs="Cambria Math"/>
          <w:sz w:val="22"/>
          <w:szCs w:val="22"/>
        </w:rPr>
        <w:t>(</w:t>
      </w:r>
      <w:proofErr w:type="gramEnd"/>
      <m:oMath>
        <m:r>
          <m:rPr>
            <m:scr m:val="double-struck"/>
          </m:rPr>
          <w:rPr>
            <w:rFonts w:ascii="Cambria Math" w:eastAsia="Cambria Math" w:hAnsi="Cambria Math" w:cs="Cambria Math"/>
            <w:sz w:val="22"/>
            <w:szCs w:val="22"/>
            <w:lang w:val="en-US"/>
          </w:rPr>
          <m:t>E</m:t>
        </m:r>
      </m:oMath>
      <w:r w:rsidR="006C1D6E" w:rsidRPr="00DF1547">
        <w:rPr>
          <w:rFonts w:ascii="Cambria Math" w:eastAsia="Cambria Math" w:hAnsi="Cambria Math" w:cs="Cambria Math"/>
          <w:sz w:val="22"/>
          <w:szCs w:val="22"/>
          <w:lang w:val="en-US"/>
        </w:rPr>
        <w:t>[</w:t>
      </w:r>
      <m:oMath>
        <m:r>
          <w:rPr>
            <w:rFonts w:ascii="Cambria Math" w:hAnsi="Cambria Math"/>
          </w:rPr>
          <m:t>θ</m:t>
        </m:r>
        <m:r>
          <w:rPr>
            <w:rFonts w:ascii="Cambria Math" w:eastAsia="Arial" w:hAnsi="Cambria Math" w:cs="Arial"/>
            <w:sz w:val="22"/>
            <w:szCs w:val="22"/>
          </w:rPr>
          <m:t>|</m:t>
        </m:r>
        <m:r>
          <w:rPr>
            <w:rFonts w:ascii="Cambria Math" w:eastAsia="Arial" w:hAnsi="Cambria Math" w:cs="Arial"/>
            <w:sz w:val="22"/>
            <w:szCs w:val="22"/>
          </w:rPr>
          <m:t>m</m:t>
        </m:r>
        <m:r>
          <w:rPr>
            <w:rFonts w:ascii="Cambria Math" w:eastAsia="Arial" w:hAnsi="Cambria Math" w:cs="Arial"/>
            <w:sz w:val="22"/>
            <w:szCs w:val="22"/>
          </w:rPr>
          <m:t>]</m:t>
        </m:r>
        <m:r>
          <w:rPr>
            <w:rFonts w:ascii="Cambria Math" w:eastAsia="Arial" w:hAnsi="Cambria Math" w:cs="Arial"/>
            <w:sz w:val="22"/>
            <w:szCs w:val="22"/>
          </w:rPr>
          <m:t>)</m:t>
        </m:r>
      </m:oMath>
      <w:r w:rsidRPr="00DF1547">
        <w:rPr>
          <w:rFonts w:ascii="Cambria Math" w:eastAsia="Arial" w:hAnsi="Cambria Math" w:cs="Arial"/>
          <w:sz w:val="22"/>
          <w:szCs w:val="22"/>
        </w:rPr>
        <w:t>.</w:t>
      </w:r>
      <w:r>
        <w:rPr>
          <w:rFonts w:ascii="Arial" w:eastAsia="Arial" w:hAnsi="Arial" w:cs="Arial"/>
          <w:sz w:val="22"/>
          <w:szCs w:val="22"/>
        </w:rPr>
        <w:t xml:space="preserve"> Under the</w:t>
      </w:r>
      <w:r>
        <w:rPr>
          <w:rFonts w:ascii="Arial" w:eastAsia="Arial" w:hAnsi="Arial" w:cs="Arial"/>
          <w:b/>
          <w:bCs/>
          <w:sz w:val="22"/>
          <w:szCs w:val="22"/>
        </w:rPr>
        <w:t xml:space="preserve"> Distributional hypothesis (</w:t>
      </w:r>
      <w:r w:rsidRPr="00DF1547">
        <w:rPr>
          <w:rFonts w:ascii="Cambria Math" w:eastAsia="Arial" w:hAnsi="Cambria Math" w:cs="Arial"/>
          <w:b/>
          <w:bCs/>
          <w:i/>
          <w:iCs/>
          <w:sz w:val="22"/>
          <w:szCs w:val="22"/>
        </w:rPr>
        <w:t>H</w:t>
      </w:r>
      <w:r w:rsidRPr="00DF1547">
        <w:rPr>
          <w:rFonts w:ascii="Cambria Math" w:eastAsia="Arial" w:hAnsi="Cambria Math" w:cs="Arial"/>
          <w:b/>
          <w:bCs/>
          <w:sz w:val="22"/>
          <w:szCs w:val="22"/>
          <w:vertAlign w:val="subscript"/>
        </w:rPr>
        <w:t>2</w:t>
      </w:r>
      <w:r>
        <w:rPr>
          <w:rFonts w:ascii="Arial" w:eastAsia="Arial" w:hAnsi="Arial" w:cs="Arial"/>
          <w:b/>
          <w:bCs/>
          <w:sz w:val="22"/>
          <w:szCs w:val="22"/>
        </w:rPr>
        <w:t>)</w:t>
      </w:r>
      <w:r>
        <w:rPr>
          <w:rFonts w:ascii="Arial" w:eastAsia="Arial" w:hAnsi="Arial" w:cs="Arial"/>
          <w:sz w:val="22"/>
          <w:szCs w:val="22"/>
        </w:rPr>
        <w:t xml:space="preserve">, the full posterior is transformed before averaging, predicting </w:t>
      </w:r>
      <m:oMath>
        <m:r>
          <m:rPr>
            <m:scr m:val="double-struck"/>
          </m:rPr>
          <w:rPr>
            <w:rFonts w:ascii="Cambria Math" w:eastAsia="Cambria Math" w:hAnsi="Cambria Math" w:cs="Cambria Math"/>
            <w:sz w:val="22"/>
            <w:szCs w:val="22"/>
            <w:lang w:val="en-US"/>
          </w:rPr>
          <m:t>E</m:t>
        </m:r>
      </m:oMath>
      <w:r w:rsidR="006C1D6E">
        <w:rPr>
          <w:rFonts w:ascii="Cambria Math" w:eastAsia="Cambria Math" w:hAnsi="Cambria Math" w:cs="Cambria Math"/>
          <w:sz w:val="22"/>
          <w:szCs w:val="22"/>
        </w:rPr>
        <w:t>[</w:t>
      </w:r>
      <w:proofErr w:type="gramStart"/>
      <w:r w:rsidRPr="00DF1547">
        <w:rPr>
          <w:rFonts w:ascii="Cambria Math" w:eastAsia="Cambria Math" w:hAnsi="Cambria Math" w:cs="Cambria Math"/>
          <w:i/>
          <w:iCs/>
          <w:sz w:val="22"/>
          <w:szCs w:val="22"/>
        </w:rPr>
        <w:t>F</w:t>
      </w:r>
      <w:r w:rsidRPr="00DF1547">
        <w:rPr>
          <w:rFonts w:ascii="Cambria Math" w:eastAsia="Cambria Math" w:hAnsi="Cambria Math" w:cs="Cambria Math"/>
          <w:sz w:val="22"/>
          <w:szCs w:val="22"/>
          <w:vertAlign w:val="subscript"/>
        </w:rPr>
        <w:t>c</w:t>
      </w:r>
      <w:r w:rsidRPr="00DF1547">
        <w:rPr>
          <w:rFonts w:ascii="Cambria Math" w:eastAsia="Cambria Math" w:hAnsi="Cambria Math" w:cs="Cambria Math"/>
          <w:sz w:val="22"/>
          <w:szCs w:val="22"/>
        </w:rPr>
        <w:t>(</w:t>
      </w:r>
      <w:proofErr w:type="gramEnd"/>
      <m:oMath>
        <m:r>
          <w:rPr>
            <w:rFonts w:ascii="Cambria Math" w:hAnsi="Cambria Math"/>
          </w:rPr>
          <m:t>θ</m:t>
        </m:r>
        <m:r>
          <w:rPr>
            <w:rFonts w:ascii="Cambria Math" w:hAnsi="Cambria Math"/>
          </w:rPr>
          <m:t>)</m:t>
        </m:r>
        <m:r>
          <w:rPr>
            <w:rFonts w:ascii="Cambria Math" w:eastAsia="Arial" w:hAnsi="Cambria Math" w:cs="Arial"/>
            <w:sz w:val="22"/>
            <w:szCs w:val="22"/>
          </w:rPr>
          <m:t>|</m:t>
        </m:r>
        <m:r>
          <w:rPr>
            <w:rFonts w:ascii="Cambria Math" w:eastAsia="Arial" w:hAnsi="Cambria Math" w:cs="Arial"/>
            <w:sz w:val="22"/>
            <w:szCs w:val="22"/>
          </w:rPr>
          <m:t>m</m:t>
        </m:r>
        <m:r>
          <w:rPr>
            <w:rFonts w:ascii="Cambria Math" w:eastAsia="Arial" w:hAnsi="Cambria Math" w:cs="Arial"/>
            <w:sz w:val="22"/>
            <w:szCs w:val="22"/>
          </w:rPr>
          <m:t>]</m:t>
        </m:r>
      </m:oMath>
      <w:r w:rsidRPr="00DF1547">
        <w:rPr>
          <w:rFonts w:ascii="Cambria Math" w:eastAsia="Arial" w:hAnsi="Cambria Math" w:cs="Arial"/>
          <w:sz w:val="22"/>
          <w:szCs w:val="22"/>
        </w:rPr>
        <w:t>.</w:t>
      </w:r>
      <w:r>
        <w:rPr>
          <w:rFonts w:ascii="Arial" w:eastAsia="Arial" w:hAnsi="Arial" w:cs="Arial"/>
          <w:sz w:val="22"/>
          <w:szCs w:val="22"/>
        </w:rPr>
        <w:t xml:space="preserve"> </w:t>
      </w:r>
      <w:r w:rsidRPr="00DF1547">
        <w:rPr>
          <w:rFonts w:ascii="Arial" w:eastAsia="Arial" w:hAnsi="Arial" w:cs="Arial"/>
          <w:sz w:val="22"/>
          <w:szCs w:val="22"/>
        </w:rPr>
        <w:t>Although transforming a full distribution</w:t>
      </w:r>
      <w:r w:rsidR="00DF1547" w:rsidRPr="00DF1547">
        <w:rPr>
          <w:rFonts w:ascii="Arial" w:eastAsia="Arial" w:hAnsi="Arial" w:cs="Arial"/>
          <w:sz w:val="22"/>
          <w:szCs w:val="22"/>
        </w:rPr>
        <w:t xml:space="preserve"> </w:t>
      </w:r>
      <w:r w:rsidR="00DF1547" w:rsidRPr="00DF1547">
        <w:rPr>
          <w:rFonts w:ascii="Arial" w:eastAsia="Malgun Gothic" w:hAnsi="Arial" w:cs="Arial"/>
          <w:sz w:val="22"/>
          <w:szCs w:val="22"/>
          <w:lang w:val="en-US"/>
        </w:rPr>
        <w:t>is computationally more demanding</w:t>
      </w:r>
      <w:r>
        <w:rPr>
          <w:rFonts w:ascii="Arial" w:eastAsia="Arial" w:hAnsi="Arial" w:cs="Arial"/>
          <w:sz w:val="22"/>
          <w:szCs w:val="22"/>
        </w:rPr>
        <w:t xml:space="preserve">, </w:t>
      </w:r>
      <w:r w:rsidRPr="00DF1547">
        <w:rPr>
          <w:rFonts w:ascii="Cambria Math" w:eastAsia="Arial" w:hAnsi="Cambria Math" w:cs="Arial"/>
          <w:b/>
          <w:bCs/>
          <w:i/>
          <w:iCs/>
          <w:sz w:val="22"/>
          <w:szCs w:val="22"/>
        </w:rPr>
        <w:t>H</w:t>
      </w:r>
      <w:r w:rsidRPr="00DF1547">
        <w:rPr>
          <w:rFonts w:ascii="Cambria Math" w:eastAsia="Arial" w:hAnsi="Cambria Math" w:cs="Arial"/>
          <w:b/>
          <w:bCs/>
          <w:sz w:val="22"/>
          <w:szCs w:val="22"/>
          <w:vertAlign w:val="subscript"/>
        </w:rPr>
        <w:t>2</w:t>
      </w:r>
      <w:r>
        <w:rPr>
          <w:rFonts w:ascii="Arial" w:eastAsia="Arial" w:hAnsi="Arial" w:cs="Arial"/>
          <w:sz w:val="22"/>
          <w:szCs w:val="22"/>
        </w:rPr>
        <w:t xml:space="preserve"> offers a normative advantage: it is Bayes-optimal under </w:t>
      </w:r>
      <w:r w:rsidRPr="00DF1547">
        <w:rPr>
          <w:rFonts w:ascii="Cambria Math" w:eastAsia="Arial" w:hAnsi="Cambria Math" w:cs="Arial"/>
          <w:sz w:val="22"/>
          <w:szCs w:val="22"/>
        </w:rPr>
        <w:t>L</w:t>
      </w:r>
      <w:r w:rsidRPr="00DF1547">
        <w:rPr>
          <w:rFonts w:ascii="Cambria Math" w:eastAsia="Arial" w:hAnsi="Cambria Math" w:cs="Arial"/>
          <w:sz w:val="22"/>
          <w:szCs w:val="22"/>
          <w:vertAlign w:val="subscript"/>
        </w:rPr>
        <w:t>2</w:t>
      </w:r>
      <w:r w:rsidRPr="00DF1547">
        <w:rPr>
          <w:rFonts w:ascii="Cambria Math" w:eastAsia="Arial" w:hAnsi="Cambria Math" w:cs="Arial"/>
          <w:b/>
          <w:bCs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loss, minimizing the expected squared error of estimating relative magnitude.</w:t>
      </w:r>
      <w:r>
        <w:rPr>
          <w:rFonts w:ascii="Arial" w:eastAsia="Arial" w:hAnsi="Arial" w:cs="Arial"/>
          <w:b/>
          <w:bCs/>
          <w:sz w:val="22"/>
          <w:szCs w:val="22"/>
        </w:rPr>
        <w:t xml:space="preserve"> </w:t>
      </w:r>
    </w:p>
    <w:p w14:paraId="00000009" w14:textId="77777777" w:rsidR="00543178" w:rsidRDefault="00543178" w:rsidP="00D01E4E">
      <w:pPr>
        <w:widowControl w:val="0"/>
        <w:spacing w:after="0" w:line="276" w:lineRule="auto"/>
        <w:ind w:firstLine="720"/>
        <w:jc w:val="both"/>
        <w:rPr>
          <w:rFonts w:ascii="Arial" w:eastAsia="Arial" w:hAnsi="Arial" w:cs="Arial"/>
          <w:b/>
          <w:bCs/>
          <w:sz w:val="22"/>
          <w:szCs w:val="22"/>
        </w:rPr>
      </w:pPr>
    </w:p>
    <w:p w14:paraId="0000000A" w14:textId="22B05AC8" w:rsidR="00543178" w:rsidRPr="0000379F" w:rsidRDefault="00000000" w:rsidP="00D01E4E">
      <w:pPr>
        <w:widowControl w:val="0"/>
        <w:spacing w:after="0" w:line="276" w:lineRule="auto"/>
        <w:ind w:firstLine="720"/>
        <w:jc w:val="both"/>
        <w:rPr>
          <w:rFonts w:ascii="Arial" w:eastAsia="Arial" w:hAnsi="Arial" w:cs="Arial" w:hint="eastAsia"/>
          <w:sz w:val="22"/>
          <w:szCs w:val="22"/>
          <w:lang w:val="en-US"/>
        </w:rPr>
      </w:pPr>
      <w:r>
        <w:rPr>
          <w:rFonts w:ascii="Arial" w:eastAsia="Arial" w:hAnsi="Arial" w:cs="Arial"/>
          <w:sz w:val="22"/>
          <w:szCs w:val="22"/>
        </w:rPr>
        <w:t xml:space="preserve">Because natural magnitude distributions are non-uniform, </w:t>
      </w:r>
      <w:r>
        <w:rPr>
          <w:rFonts w:ascii="Cambria Math" w:eastAsia="Cambria Math" w:hAnsi="Cambria Math" w:cs="Cambria Math"/>
          <w:i/>
          <w:iCs/>
          <w:sz w:val="22"/>
          <w:szCs w:val="22"/>
        </w:rPr>
        <w:t>F</w:t>
      </w:r>
      <w:r>
        <w:rPr>
          <w:rFonts w:ascii="Cambria Math" w:eastAsia="Cambria Math" w:hAnsi="Cambria Math" w:cs="Cambria Math"/>
          <w:sz w:val="22"/>
          <w:szCs w:val="22"/>
          <w:vertAlign w:val="subscript"/>
        </w:rPr>
        <w:t>c</w:t>
      </w:r>
      <w:r>
        <w:rPr>
          <w:rFonts w:ascii="Arial" w:eastAsia="Arial" w:hAnsi="Arial" w:cs="Arial"/>
          <w:sz w:val="22"/>
          <w:szCs w:val="22"/>
        </w:rPr>
        <w:t xml:space="preserve"> is inherently nonlinear. By Jensen’s inequality, </w:t>
      </w:r>
      <w:r w:rsidRPr="00DF1547">
        <w:rPr>
          <w:rFonts w:ascii="Cambria Math" w:eastAsia="Arial" w:hAnsi="Cambria Math" w:cs="Arial"/>
          <w:b/>
          <w:bCs/>
          <w:i/>
          <w:iCs/>
          <w:sz w:val="22"/>
          <w:szCs w:val="22"/>
        </w:rPr>
        <w:t>H</w:t>
      </w:r>
      <w:r w:rsidRPr="00DF1547">
        <w:rPr>
          <w:rFonts w:ascii="Cambria Math" w:eastAsia="Arial" w:hAnsi="Cambria Math" w:cs="Arial"/>
          <w:b/>
          <w:bCs/>
          <w:sz w:val="22"/>
          <w:szCs w:val="22"/>
          <w:vertAlign w:val="subscript"/>
        </w:rPr>
        <w:t>2</w:t>
      </w:r>
      <w:r>
        <w:rPr>
          <w:rFonts w:ascii="Arial" w:eastAsia="Arial" w:hAnsi="Arial" w:cs="Arial"/>
          <w:sz w:val="22"/>
          <w:szCs w:val="22"/>
        </w:rPr>
        <w:t xml:space="preserve"> predicts higher relative estimates than </w:t>
      </w:r>
      <w:r w:rsidRPr="00DF1547">
        <w:rPr>
          <w:rFonts w:ascii="Cambria Math" w:eastAsia="Arial" w:hAnsi="Cambria Math" w:cs="Arial"/>
          <w:b/>
          <w:bCs/>
          <w:i/>
          <w:iCs/>
          <w:sz w:val="22"/>
          <w:szCs w:val="22"/>
        </w:rPr>
        <w:t>H</w:t>
      </w:r>
      <w:r w:rsidRPr="00DF1547">
        <w:rPr>
          <w:rFonts w:ascii="Cambria Math" w:eastAsia="Arial" w:hAnsi="Cambria Math" w:cs="Arial"/>
          <w:b/>
          <w:bCs/>
          <w:sz w:val="22"/>
          <w:szCs w:val="22"/>
          <w:vertAlign w:val="subscript"/>
        </w:rPr>
        <w:t>1</w:t>
      </w:r>
      <w:r>
        <w:rPr>
          <w:rFonts w:ascii="Arial" w:eastAsia="Arial" w:hAnsi="Arial" w:cs="Arial"/>
          <w:sz w:val="22"/>
          <w:szCs w:val="22"/>
        </w:rPr>
        <w:t xml:space="preserve"> in convex regions of </w:t>
      </w:r>
      <w:r>
        <w:rPr>
          <w:rFonts w:ascii="Cambria Math" w:eastAsia="Cambria Math" w:hAnsi="Cambria Math" w:cs="Cambria Math"/>
          <w:i/>
          <w:iCs/>
          <w:sz w:val="22"/>
          <w:szCs w:val="22"/>
        </w:rPr>
        <w:t>F</w:t>
      </w:r>
      <w:r>
        <w:rPr>
          <w:rFonts w:ascii="Cambria Math" w:eastAsia="Cambria Math" w:hAnsi="Cambria Math" w:cs="Cambria Math"/>
          <w:sz w:val="22"/>
          <w:szCs w:val="22"/>
          <w:vertAlign w:val="subscript"/>
        </w:rPr>
        <w:t>c</w:t>
      </w:r>
      <w:r w:rsidR="00D01E4E" w:rsidRPr="00D01E4E">
        <w:rPr>
          <w:rFonts w:ascii="Arial" w:eastAsia="Arial" w:hAnsi="Arial" w:cs="Arial"/>
          <w:sz w:val="22"/>
          <w:szCs w:val="22"/>
        </w:rPr>
        <w:t xml:space="preserve"> </w:t>
      </w:r>
      <w:r w:rsidR="006C1D6E"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 xml:space="preserve">nd lower estimates in concave regions. To test these predictions, we designed a psychophysical task where participants either reproduced absolute durations or reported context-relative positions of the occluded duration of a rotating bar across temporal contexts with opposing </w:t>
      </w:r>
      <w:r w:rsidRPr="00DF1547">
        <w:rPr>
          <w:rFonts w:ascii="Cambria Math" w:eastAsia="Arial" w:hAnsi="Cambria Math" w:cs="Arial"/>
          <w:sz w:val="22"/>
          <w:szCs w:val="22"/>
        </w:rPr>
        <w:t>CDF</w:t>
      </w:r>
      <w:r>
        <w:rPr>
          <w:rFonts w:ascii="Arial" w:eastAsia="Arial" w:hAnsi="Arial" w:cs="Arial"/>
          <w:sz w:val="22"/>
          <w:szCs w:val="22"/>
        </w:rPr>
        <w:t xml:space="preserve"> curvature profiles.  Behavioral data exhibited systematic, curvature-dependent shifts predicted by </w:t>
      </w:r>
      <w:r w:rsidRPr="00DF1547">
        <w:rPr>
          <w:rFonts w:ascii="Cambria Math" w:eastAsia="Arial" w:hAnsi="Cambria Math" w:cs="Arial"/>
          <w:b/>
          <w:bCs/>
          <w:i/>
          <w:iCs/>
          <w:sz w:val="22"/>
          <w:szCs w:val="22"/>
        </w:rPr>
        <w:t>H</w:t>
      </w:r>
      <w:r w:rsidRPr="00DF1547">
        <w:rPr>
          <w:rFonts w:ascii="Cambria Math" w:eastAsia="Arial" w:hAnsi="Cambria Math" w:cs="Arial"/>
          <w:b/>
          <w:bCs/>
          <w:sz w:val="22"/>
          <w:szCs w:val="22"/>
          <w:vertAlign w:val="subscript"/>
        </w:rPr>
        <w:t>2</w:t>
      </w:r>
      <w:r>
        <w:rPr>
          <w:rFonts w:ascii="Arial" w:eastAsia="Arial" w:hAnsi="Arial" w:cs="Arial"/>
          <w:sz w:val="22"/>
          <w:szCs w:val="22"/>
        </w:rPr>
        <w:t xml:space="preserve">. These findings </w:t>
      </w:r>
      <w:r w:rsidR="00D01E4E">
        <w:rPr>
          <w:rFonts w:ascii="Arial" w:eastAsia="Arial" w:hAnsi="Arial" w:cs="Arial"/>
          <w:sz w:val="22"/>
          <w:szCs w:val="22"/>
        </w:rPr>
        <w:t>support the hypothesis</w:t>
      </w:r>
      <w:r>
        <w:rPr>
          <w:rFonts w:ascii="Arial" w:eastAsia="Arial" w:hAnsi="Arial" w:cs="Arial"/>
          <w:sz w:val="22"/>
          <w:szCs w:val="22"/>
        </w:rPr>
        <w:t xml:space="preserve"> that the brain preserves and propagates perceptual uncertainty when transforming absolute magnitudes into context-relative coordinates.</w:t>
      </w:r>
    </w:p>
    <w:p w14:paraId="0000000B" w14:textId="77777777" w:rsidR="00543178" w:rsidRDefault="00543178">
      <w:pPr>
        <w:spacing w:after="0"/>
        <w:jc w:val="both"/>
        <w:rPr>
          <w:rFonts w:ascii="Arial" w:eastAsia="Arial" w:hAnsi="Arial" w:cs="Arial"/>
          <w:sz w:val="22"/>
          <w:szCs w:val="22"/>
        </w:rPr>
      </w:pPr>
    </w:p>
    <w:p w14:paraId="0000000C" w14:textId="77777777" w:rsidR="00543178" w:rsidRDefault="00543178">
      <w:pPr>
        <w:spacing w:after="0"/>
        <w:jc w:val="both"/>
        <w:rPr>
          <w:rFonts w:ascii="Arial" w:eastAsia="Arial" w:hAnsi="Arial" w:cs="Arial"/>
          <w:sz w:val="22"/>
          <w:szCs w:val="22"/>
        </w:rPr>
      </w:pPr>
    </w:p>
    <w:p w14:paraId="05B7AE0E" w14:textId="77777777" w:rsidR="006C1D6E" w:rsidRPr="006C1D6E" w:rsidRDefault="006C1D6E" w:rsidP="006C1D6E">
      <w:pPr>
        <w:spacing w:after="0"/>
        <w:jc w:val="both"/>
        <w:rPr>
          <w:rFonts w:ascii="Arial" w:eastAsia="Arial" w:hAnsi="Arial" w:cs="Arial" w:hint="eastAsia"/>
          <w:sz w:val="22"/>
          <w:szCs w:val="22"/>
          <w:lang w:val="en-US"/>
        </w:rPr>
      </w:pPr>
    </w:p>
    <w:sectPr w:rsidR="006C1D6E" w:rsidRPr="006C1D6E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r:id="rId1" w:fontKey="{17044150-C57E-B048-A4A4-8E07B8A90FAA}"/>
    <w:embedItalic r:id="rId2" w:fontKey="{5ED17D80-85BB-B34A-B895-52C6074B919F}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Play">
    <w:charset w:val="00"/>
    <w:family w:val="auto"/>
    <w:pitch w:val="default"/>
    <w:embedRegular r:id="rId3" w:fontKey="{09002AF8-2A25-3E48-9A62-2BA25F9DA6A3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4" w:fontKey="{1CF42D2C-78FC-B646-B0B3-FE8D26016C9D}"/>
    <w:embedBold r:id="rId5" w:fontKey="{D75F9504-428F-1F42-8A89-23B548D599D7}"/>
    <w:embedItalic r:id="rId6" w:fontKey="{5F42DB97-F697-7940-AF61-C9645C018E95}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r:id="rId7" w:fontKey="{49ABE610-A9C6-AB49-9863-7D15C2CD0DB6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8" w:fontKey="{E8208CA5-DD1E-3145-9CCD-DFBD29A1D3B3}"/>
    <w:embedBold r:id="rId9" w:fontKey="{E0E3D8EB-0690-034A-97F7-F878D66629D8}"/>
    <w:embedItalic r:id="rId10" w:fontKey="{15C17B2F-CB7A-244E-8DA5-FEE265A9A732}"/>
    <w:embedBoldItalic r:id="rId11" w:fontKey="{31AFC451-CE37-2F40-A344-E1987C80F3EA}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  <w:embedRegular r:id="rId12" w:fontKey="{BAAE0C34-30D5-AA4A-B988-D13C95C2AAC9}"/>
    <w:embedBold r:id="rId13" w:fontKey="{2F2013BA-28D1-814D-92C6-8D1FFFD46340}"/>
    <w:embedItalic r:id="rId14" w:fontKey="{6C709435-03CE-AD47-96E0-6251BBE19E48}"/>
    <w:embedBoldItalic r:id="rId15" w:fontKey="{851FC630-301F-8D41-A7ED-2E9FC31FAE38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embedTrueTypeFont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3178"/>
    <w:rsid w:val="0000379F"/>
    <w:rsid w:val="003E3F4C"/>
    <w:rsid w:val="00543178"/>
    <w:rsid w:val="006C1D6E"/>
    <w:rsid w:val="00D01E4E"/>
    <w:rsid w:val="00DF1547"/>
    <w:rsid w:val="00EF5B79"/>
    <w:rsid w:val="00F52F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R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82BAF4"/>
  <w15:docId w15:val="{FB736885-CE5C-FB4B-9E4C-FF1E0C340F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Theme="minorEastAsia" w:hAnsi="Aptos" w:cs="Aptos"/>
        <w:sz w:val="24"/>
        <w:szCs w:val="24"/>
        <w:lang w:val="en" w:eastAsia="ko-KR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28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28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28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7F28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28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28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28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28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28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28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28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2814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7F28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7F28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28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28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28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28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28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28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2814"/>
    <w:rPr>
      <w:b/>
      <w:bCs/>
      <w:smallCaps/>
      <w:color w:val="0F4761" w:themeColor="accent1" w:themeShade="BF"/>
      <w:spacing w:val="5"/>
    </w:r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  <w:style w:type="character" w:styleId="PlaceholderText">
    <w:name w:val="Placeholder Text"/>
    <w:basedOn w:val="DefaultParagraphFont"/>
    <w:uiPriority w:val="99"/>
    <w:semiHidden/>
    <w:rsid w:val="006C1D6E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VYuheNWw4rOctv+dw5WF8jXuk4w==">CgMxLjA4AHIhMS1BeXE0elJ5QXlJcHk1U3BkRi0zRlU3MnBycjZmNmhz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307</Words>
  <Characters>1755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Jaeson Jang</dc:creator>
  <cp:lastModifiedBy>박준오</cp:lastModifiedBy>
  <cp:revision>3</cp:revision>
  <dcterms:created xsi:type="dcterms:W3CDTF">2026-08-24T07:39:00Z</dcterms:created>
  <dcterms:modified xsi:type="dcterms:W3CDTF">2026-08-24T07:49:00Z</dcterms:modified>
</cp:coreProperties>
</file>