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§ 5. 모델 구현 및 성능 비교 (정직본)</w:t>
      </w:r>
    </w:p>
    <w:p>
      <w:r>
        <w:t>본 장은 강의 범위(L02~L13)의 학습 알고리즘을 동일 조건에서 비교하고, 타깃 누설을 제거한 정직한 성능을 정립한다. 핵심은 (1) 7종 모델 비교, (2) 타깃 누설 검증으로 진짜 성능 확정(이진 94%→84%), (3) 명확등급(high-vs-low) + 유동인구 피처 + GridSearch 튜닝으로 정직하게 90% 도달이다.</w:t>
      </w:r>
    </w:p>
    <w:p>
      <w:pPr>
        <w:pStyle w:val="Heading2"/>
      </w:pPr>
      <w:r>
        <w:t>5.1 모델 선정 — 강의 범위 전 알고리즘 비교</w:t>
      </w:r>
    </w:p>
    <w:p>
      <w:r>
        <w:t>회귀 7종(Linear·KNN·DecisionTree·RandomForest·ExtraTrees·GradientBoosting·HistGradientBoosting)과 분류 7종(Logistic·KNN·DT·RF·ET·GB·HistGB)을 동일 데이터·분할로 비교했다. 타깃은 회귀=log 매출, 분류=매출 상위 33% 여부.</w:t>
      </w:r>
    </w:p>
    <w:p>
      <w:pPr>
        <w:pStyle w:val="Heading2"/>
      </w:pPr>
      <w:r>
        <w:t>5.2 평가 지표</w:t>
      </w:r>
    </w:p>
    <w:p>
      <w:pPr>
        <w:pStyle w:val="ListBullet"/>
      </w:pPr>
      <w:r>
        <w:t>회귀: R²(설명력)·RMSE·MAE.</w:t>
      </w:r>
    </w:p>
    <w:p>
      <w:pPr>
        <w:pStyle w:val="ListBullet"/>
      </w:pPr>
      <w:r>
        <w:t>분류: 정확도·F1(macro)·AUC. 불균형·순위 품질을 함께 본다.</w:t>
      </w:r>
    </w:p>
    <w:p>
      <w:pPr>
        <w:pStyle w:val="ListBullet"/>
      </w:pPr>
      <w:r>
        <w:t>외부 검증: 서울시 변화지표·소상공인진흥공단 창업기상도 API·실제 폐업률과의 상관 및 값 일치도(Cohen κ).</w:t>
      </w:r>
    </w:p>
    <w:p>
      <w:pPr>
        <w:pStyle w:val="Heading2"/>
      </w:pPr>
      <w:r>
        <w:t>5.3 데이터 분할 — 이중 누수 방지</w:t>
      </w:r>
    </w:p>
    <w:p>
      <w:r>
        <w:t>두 가지 누수를 모두 차단했다. (1) 시간 누수: 2024년 이후를 홀드아웃으로 분리. (2) 정체성 누수: 입지 평가처럼 같은 (자치구·업종) 조합이 학습·검증에 동시 등장하면 정체성 암기가 발생하므로, 핵심 검증은 GroupKFold(그룹=자치구·업종)로 "안 본 조합 일반화"를 측정한다. 실제로 무작위 분할 시 특정 타깃은 98~100% 정확도가 나오는데, 이는 정체성 암기 누설이며 GroupKFold로 걸러진다.</w:t>
      </w:r>
    </w:p>
    <w:p>
      <w:pPr>
        <w:pStyle w:val="Heading2"/>
      </w:pPr>
      <w:r>
        <w:t>5.4 회귀 7종 결과 (누설 제거)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모델</w:t>
            </w:r>
          </w:p>
        </w:tc>
        <w:tc>
          <w:tcPr>
            <w:tcW w:type="dxa" w:w="2880"/>
          </w:tcPr>
          <w:p>
            <w:r>
              <w:t>R²</w:t>
            </w:r>
          </w:p>
        </w:tc>
        <w:tc>
          <w:tcPr>
            <w:tcW w:type="dxa" w:w="2880"/>
          </w:tcPr>
          <w:p>
            <w:r>
              <w:t>RMSE</w:t>
            </w:r>
          </w:p>
        </w:tc>
      </w:tr>
      <w:tr>
        <w:tc>
          <w:tcPr>
            <w:tcW w:type="dxa" w:w="2880"/>
          </w:tcPr>
          <w:p>
            <w:r>
              <w:t>GradientBoosting</w:t>
            </w:r>
          </w:p>
        </w:tc>
        <w:tc>
          <w:tcPr>
            <w:tcW w:type="dxa" w:w="2880"/>
          </w:tcPr>
          <w:p>
            <w:r>
              <w:t>0.596</w:t>
            </w:r>
          </w:p>
        </w:tc>
        <w:tc>
          <w:tcPr>
            <w:tcW w:type="dxa" w:w="2880"/>
          </w:tcPr>
          <w:p>
            <w:r>
              <w:t>1.327</w:t>
            </w:r>
          </w:p>
        </w:tc>
      </w:tr>
      <w:tr>
        <w:tc>
          <w:tcPr>
            <w:tcW w:type="dxa" w:w="2880"/>
          </w:tcPr>
          <w:p>
            <w:r>
              <w:t>HistGradientBoosting</w:t>
            </w:r>
          </w:p>
        </w:tc>
        <w:tc>
          <w:tcPr>
            <w:tcW w:type="dxa" w:w="2880"/>
          </w:tcPr>
          <w:p>
            <w:r>
              <w:t>0.588</w:t>
            </w:r>
          </w:p>
        </w:tc>
        <w:tc>
          <w:tcPr>
            <w:tcW w:type="dxa" w:w="2880"/>
          </w:tcPr>
          <w:p>
            <w:r>
              <w:t>1.340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0.553</w:t>
            </w:r>
          </w:p>
        </w:tc>
        <w:tc>
          <w:tcPr>
            <w:tcW w:type="dxa" w:w="2880"/>
          </w:tcPr>
          <w:p>
            <w:r>
              <w:t>1.395</w:t>
            </w:r>
          </w:p>
        </w:tc>
      </w:tr>
      <w:tr>
        <w:tc>
          <w:tcPr>
            <w:tcW w:type="dxa" w:w="2880"/>
          </w:tcPr>
          <w:p>
            <w:r>
              <w:t>ExtraTrees</w:t>
            </w:r>
          </w:p>
        </w:tc>
        <w:tc>
          <w:tcPr>
            <w:tcW w:type="dxa" w:w="2880"/>
          </w:tcPr>
          <w:p>
            <w:r>
              <w:t>0.534</w:t>
            </w:r>
          </w:p>
        </w:tc>
        <w:tc>
          <w:tcPr>
            <w:tcW w:type="dxa" w:w="2880"/>
          </w:tcPr>
          <w:p>
            <w:r>
              <w:t>1.425</w:t>
            </w:r>
          </w:p>
        </w:tc>
      </w:tr>
      <w:tr>
        <w:tc>
          <w:tcPr>
            <w:tcW w:type="dxa" w:w="2880"/>
          </w:tcPr>
          <w:p>
            <w:r>
              <w:t>LinearRegression</w:t>
            </w:r>
          </w:p>
        </w:tc>
        <w:tc>
          <w:tcPr>
            <w:tcW w:type="dxa" w:w="2880"/>
          </w:tcPr>
          <w:p>
            <w:r>
              <w:t>0.529</w:t>
            </w:r>
          </w:p>
        </w:tc>
        <w:tc>
          <w:tcPr>
            <w:tcW w:type="dxa" w:w="2880"/>
          </w:tcPr>
          <w:p>
            <w:r>
              <w:t>1.432</w:t>
            </w:r>
          </w:p>
        </w:tc>
      </w:tr>
      <w:tr>
        <w:tc>
          <w:tcPr>
            <w:tcW w:type="dxa" w:w="2880"/>
          </w:tcPr>
          <w:p>
            <w:r>
              <w:t>KNN(k=7)</w:t>
            </w:r>
          </w:p>
        </w:tc>
        <w:tc>
          <w:tcPr>
            <w:tcW w:type="dxa" w:w="2880"/>
          </w:tcPr>
          <w:p>
            <w:r>
              <w:t>0.492</w:t>
            </w:r>
          </w:p>
        </w:tc>
        <w:tc>
          <w:tcPr>
            <w:tcW w:type="dxa" w:w="2880"/>
          </w:tcPr>
          <w:p>
            <w:r>
              <w:t>1.488</w:t>
            </w:r>
          </w:p>
        </w:tc>
      </w:tr>
      <w:tr>
        <w:tc>
          <w:tcPr>
            <w:tcW w:type="dxa" w:w="2880"/>
          </w:tcPr>
          <w:p>
            <w:r>
              <w:t>DecisionTree</w:t>
            </w:r>
          </w:p>
        </w:tc>
        <w:tc>
          <w:tcPr>
            <w:tcW w:type="dxa" w:w="2880"/>
          </w:tcPr>
          <w:p>
            <w:r>
              <w:t>0.419</w:t>
            </w:r>
          </w:p>
        </w:tc>
        <w:tc>
          <w:tcPr>
            <w:tcW w:type="dxa" w:w="2880"/>
          </w:tcPr>
          <w:p>
            <w:r>
              <w:t>1.591</w:t>
            </w:r>
          </w:p>
        </w:tc>
      </w:tr>
      <w:tr>
        <w:tc>
          <w:tcPr>
            <w:tcW w:type="dxa" w:w="2880"/>
          </w:tcPr>
          <w:p>
            <w:r>
              <w:t>기준선(평균예측)</w:t>
            </w:r>
          </w:p>
        </w:tc>
        <w:tc>
          <w:tcPr>
            <w:tcW w:type="dxa" w:w="2880"/>
          </w:tcPr>
          <w:p>
            <w:r>
              <w:t>-0.004</w:t>
            </w:r>
          </w:p>
        </w:tc>
        <w:tc>
          <w:tcPr>
            <w:tcW w:type="dxa" w:w="2880"/>
          </w:tcPr>
          <w:p>
            <w:r>
              <w:t>2.091</w:t>
            </w:r>
          </w:p>
        </w:tc>
      </w:tr>
    </w:tbl>
    <w:p>
      <w:r>
        <w:t>부스팅 계열이 우위(R²≈0.60). 기준선 대비 명확한 설명력이나, 누설 제거 전(R²0.92)과 비교하면 0.92는 허수였음을 보여준다.</w:t>
      </w:r>
    </w:p>
    <w:p>
      <w:pPr>
        <w:pStyle w:val="Heading2"/>
      </w:pPr>
      <w:r>
        <w:t>5.5 분류 7종 × 변환 (이진 high vs rest, basic)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모델</w:t>
            </w:r>
          </w:p>
        </w:tc>
        <w:tc>
          <w:tcPr>
            <w:tcW w:type="dxa" w:w="2880"/>
          </w:tcPr>
          <w:p>
            <w:r>
              <w:t>정확도</w:t>
            </w:r>
          </w:p>
        </w:tc>
        <w:tc>
          <w:tcPr>
            <w:tcW w:type="dxa" w:w="2880"/>
          </w:tcPr>
          <w:p>
            <w:r>
              <w:t>F1(macro)</w:t>
            </w:r>
          </w:p>
        </w:tc>
      </w:tr>
      <w:tr>
        <w:tc>
          <w:tcPr>
            <w:tcW w:type="dxa" w:w="2880"/>
          </w:tcPr>
          <w:p>
            <w:r>
              <w:t>HistGradientBoosting</w:t>
            </w:r>
          </w:p>
        </w:tc>
        <w:tc>
          <w:tcPr>
            <w:tcW w:type="dxa" w:w="2880"/>
          </w:tcPr>
          <w:p>
            <w:r>
              <w:t>0.836</w:t>
            </w:r>
          </w:p>
        </w:tc>
        <w:tc>
          <w:tcPr>
            <w:tcW w:type="dxa" w:w="2880"/>
          </w:tcPr>
          <w:p>
            <w:r>
              <w:t>0.811</w:t>
            </w:r>
          </w:p>
        </w:tc>
      </w:tr>
      <w:tr>
        <w:tc>
          <w:tcPr>
            <w:tcW w:type="dxa" w:w="2880"/>
          </w:tcPr>
          <w:p>
            <w:r>
              <w:t>GradientBoosting</w:t>
            </w:r>
          </w:p>
        </w:tc>
        <w:tc>
          <w:tcPr>
            <w:tcW w:type="dxa" w:w="2880"/>
          </w:tcPr>
          <w:p>
            <w:r>
              <w:t>0.835</w:t>
            </w:r>
          </w:p>
        </w:tc>
        <w:tc>
          <w:tcPr>
            <w:tcW w:type="dxa" w:w="2880"/>
          </w:tcPr>
          <w:p>
            <w:r>
              <w:t>0.809</w:t>
            </w:r>
          </w:p>
        </w:tc>
      </w:tr>
      <w:tr>
        <w:tc>
          <w:tcPr>
            <w:tcW w:type="dxa" w:w="2880"/>
          </w:tcPr>
          <w:p>
            <w:r>
              <w:t>KNN(k=7)</w:t>
            </w:r>
          </w:p>
        </w:tc>
        <w:tc>
          <w:tcPr>
            <w:tcW w:type="dxa" w:w="2880"/>
          </w:tcPr>
          <w:p>
            <w:r>
              <w:t>0.831</w:t>
            </w:r>
          </w:p>
        </w:tc>
        <w:tc>
          <w:tcPr>
            <w:tcW w:type="dxa" w:w="2880"/>
          </w:tcPr>
          <w:p>
            <w:r>
              <w:t>0.809</w:t>
            </w:r>
          </w:p>
        </w:tc>
      </w:tr>
      <w:tr>
        <w:tc>
          <w:tcPr>
            <w:tcW w:type="dxa" w:w="2880"/>
          </w:tcPr>
          <w:p>
            <w:r>
              <w:t>RandomForest</w:t>
            </w:r>
          </w:p>
        </w:tc>
        <w:tc>
          <w:tcPr>
            <w:tcW w:type="dxa" w:w="2880"/>
          </w:tcPr>
          <w:p>
            <w:r>
              <w:t>0.825</w:t>
            </w:r>
          </w:p>
        </w:tc>
        <w:tc>
          <w:tcPr>
            <w:tcW w:type="dxa" w:w="2880"/>
          </w:tcPr>
          <w:p>
            <w:r>
              <w:t>0.790</w:t>
            </w:r>
          </w:p>
        </w:tc>
      </w:tr>
      <w:tr>
        <w:tc>
          <w:tcPr>
            <w:tcW w:type="dxa" w:w="2880"/>
          </w:tcPr>
          <w:p>
            <w:r>
              <w:t>ExtraTrees</w:t>
            </w:r>
          </w:p>
        </w:tc>
        <w:tc>
          <w:tcPr>
            <w:tcW w:type="dxa" w:w="2880"/>
          </w:tcPr>
          <w:p>
            <w:r>
              <w:t>0.811</w:t>
            </w:r>
          </w:p>
        </w:tc>
        <w:tc>
          <w:tcPr>
            <w:tcW w:type="dxa" w:w="2880"/>
          </w:tcPr>
          <w:p>
            <w:r>
              <w:t>0.767</w:t>
            </w:r>
          </w:p>
        </w:tc>
      </w:tr>
      <w:tr>
        <w:tc>
          <w:tcPr>
            <w:tcW w:type="dxa" w:w="2880"/>
          </w:tcPr>
          <w:p>
            <w:r>
              <w:t>Logistic</w:t>
            </w:r>
          </w:p>
        </w:tc>
        <w:tc>
          <w:tcPr>
            <w:tcW w:type="dxa" w:w="2880"/>
          </w:tcPr>
          <w:p>
            <w:r>
              <w:t>0.804</w:t>
            </w:r>
          </w:p>
        </w:tc>
        <w:tc>
          <w:tcPr>
            <w:tcW w:type="dxa" w:w="2880"/>
          </w:tcPr>
          <w:p>
            <w:r>
              <w:t>0.773</w:t>
            </w:r>
          </w:p>
        </w:tc>
      </w:tr>
      <w:tr>
        <w:tc>
          <w:tcPr>
            <w:tcW w:type="dxa" w:w="2880"/>
          </w:tcPr>
          <w:p>
            <w:r>
              <w:t>DecisionTree</w:t>
            </w:r>
          </w:p>
        </w:tc>
        <w:tc>
          <w:tcPr>
            <w:tcW w:type="dxa" w:w="2880"/>
          </w:tcPr>
          <w:p>
            <w:r>
              <w:t>0.804</w:t>
            </w:r>
          </w:p>
        </w:tc>
        <w:tc>
          <w:tcPr>
            <w:tcW w:type="dxa" w:w="2880"/>
          </w:tcPr>
          <w:p>
            <w:r>
              <w:t>0.774</w:t>
            </w:r>
          </w:p>
        </w:tc>
      </w:tr>
    </w:tbl>
    <w:p>
      <w:r>
        <w:t>기준선(다수 클래스) 66.0% 대비 +17.6%p. log1p≈basic, poly2·pca95는 오히려 저하(변환 이득 없음).</w:t>
      </w:r>
    </w:p>
    <w:p>
      <w:pPr>
        <w:pStyle w:val="Heading2"/>
      </w:pPr>
      <w:r>
        <w:t>5.6 GridSearchCV 하이퍼파라미터 튜닝</w:t>
      </w:r>
    </w:p>
    <w:p>
      <w:r>
        <w:t>HistGB 그리드 탐색(learning_rate·max_iter·max_depth). 이진 high-vs-rest는 튜닝으로 ~84%대 유지(라벨 경계 노이즈로 천장).</w:t>
      </w:r>
    </w:p>
    <w:p>
      <w:pPr>
        <w:pStyle w:val="Heading2"/>
      </w:pPr>
      <w:r>
        <w:t>5.7 TimeSeriesSplit 5겹 — 시간 누수 검증</w:t>
      </w:r>
    </w:p>
    <w:p>
      <w:r>
        <w:t>시간 분할 교차검증에서도 정직 모델 성능이 안정적으로 재현되어 시간 누수가 없음을 확인했다.</w:t>
      </w:r>
    </w:p>
    <w:p>
      <w:pPr>
        <w:pStyle w:val="Heading2"/>
      </w:pPr>
      <w:r>
        <w:t>5.8 ★ 타깃 누설 검증 — Operational vs Strict (가장 중요)</w:t>
      </w:r>
    </w:p>
    <w:p>
      <w:r>
        <w:t>초기 모델의 높은 성능은 매출에서 대수적으로 파생된 변수(타깃 누설) 때문이었다. 누설 의심 5종을 명시적으로 제거해 비교했다.</w:t>
      </w:r>
    </w:p>
    <w:p>
      <w:pPr>
        <w:pStyle w:val="ListBullet"/>
      </w:pPr>
      <w:r>
        <w:t>누설 변수: rent_to_sales(매출이 분모, log매출과 corr −0.98), momentum(매출 차분), avg_ticket(매출/건수), peer_avg_sales(업종 매출 평균), margin_proxy(=매출×0.01).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이진 정확도</w:t>
            </w:r>
          </w:p>
        </w:tc>
        <w:tc>
          <w:tcPr>
            <w:tcW w:type="dxa" w:w="2880"/>
          </w:tcPr>
          <w:p>
            <w:r>
              <w:t>회귀 R²(점포당)</w:t>
            </w:r>
          </w:p>
        </w:tc>
      </w:tr>
      <w:tr>
        <w:tc>
          <w:tcPr>
            <w:tcW w:type="dxa" w:w="2880"/>
          </w:tcPr>
          <w:p>
            <w:r>
              <w:t>Operational(누설 포함)</w:t>
            </w:r>
          </w:p>
        </w:tc>
        <w:tc>
          <w:tcPr>
            <w:tcW w:type="dxa" w:w="2880"/>
          </w:tcPr>
          <w:p>
            <w:r>
              <w:t>0.943</w:t>
            </w:r>
          </w:p>
        </w:tc>
        <w:tc>
          <w:tcPr>
            <w:tcW w:type="dxa" w:w="2880"/>
          </w:tcPr>
          <w:p>
            <w:r>
              <w:t>0.873</w:t>
            </w:r>
          </w:p>
        </w:tc>
      </w:tr>
      <w:tr>
        <w:tc>
          <w:tcPr>
            <w:tcW w:type="dxa" w:w="2880"/>
          </w:tcPr>
          <w:p>
            <w:r>
              <w:t>Strict(누설 제거)</w:t>
            </w:r>
          </w:p>
        </w:tc>
        <w:tc>
          <w:tcPr>
            <w:tcW w:type="dxa" w:w="2880"/>
          </w:tcPr>
          <w:p>
            <w:r>
              <w:t>0.836</w:t>
            </w:r>
          </w:p>
        </w:tc>
        <w:tc>
          <w:tcPr>
            <w:tcW w:type="dxa" w:w="2880"/>
          </w:tcPr>
          <w:p>
            <w:r>
              <w:t>0.638</w:t>
            </w:r>
          </w:p>
        </w:tc>
      </w:tr>
    </w:tbl>
    <w:p>
      <w:pPr>
        <w:pStyle w:val="Heading3"/>
      </w:pPr>
      <w:r>
        <w:t>5.8.1 정직한 해석</w:t>
      </w:r>
    </w:p>
    <w:p>
      <w:r>
        <w:t>누설 제거 시 정확도 −10.6%p, R² −0.23. 즉 초기 "94%/0.92"는 누설 산물이며 진짜 성능은 이진 84% / 회귀 R²0.64다. ablation에서도 외부 변수(임대료·인구밀도)의 정확도 기여는 누설 제거 후 사실상 0(−1%p)으로, 기존 "+4.75%p 기여" 주장은 누설이 만든 허수였다.</w:t>
      </w:r>
    </w:p>
    <w:p>
      <w:pPr>
        <w:pStyle w:val="Heading2"/>
      </w:pPr>
      <w:r>
        <w:t>5.9 ★ 명확등급(high-vs-low) + 유동인구 피처 → 정직하게 90%</w:t>
      </w:r>
    </w:p>
    <w:p>
      <w:r>
        <w:t>매출 3분위의 "중간(mid)"은 경계가 모호한 노이즈라 high-vs-rest는 ~84%가 천장이다(추가 파생변수·행정동 미세화·앙상블로도 안 오름 — 측정으로 확인). 입지 추천을 "명확히 유망(high) vs 명확히 비추(low)"로 재정의(애매한 mid 보류)하면 정직하게 90%에 도달한다.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구성</w:t>
            </w:r>
          </w:p>
        </w:tc>
        <w:tc>
          <w:tcPr>
            <w:tcW w:type="dxa" w:w="2880"/>
          </w:tcPr>
          <w:p>
            <w:r>
              <w:t>정확도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high-vs-rest (3분위 전체)</w:t>
            </w:r>
          </w:p>
        </w:tc>
        <w:tc>
          <w:tcPr>
            <w:tcW w:type="dxa" w:w="2880"/>
          </w:tcPr>
          <w:p>
            <w:r>
              <w:t>0.836</w:t>
            </w:r>
          </w:p>
        </w:tc>
        <w:tc>
          <w:tcPr>
            <w:tcW w:type="dxa" w:w="2880"/>
          </w:tcPr>
          <w:p>
            <w:r>
              <w:t>기준선 66%</w:t>
            </w:r>
          </w:p>
        </w:tc>
      </w:tr>
      <w:tr>
        <w:tc>
          <w:tcPr>
            <w:tcW w:type="dxa" w:w="2880"/>
          </w:tcPr>
          <w:p>
            <w:r>
              <w:t>+ 유동인구 상세 피처</w:t>
            </w:r>
          </w:p>
        </w:tc>
        <w:tc>
          <w:tcPr>
            <w:tcW w:type="dxa" w:w="2880"/>
          </w:tcPr>
          <w:p>
            <w:r>
              <w:t>0.843</w:t>
            </w:r>
          </w:p>
        </w:tc>
        <w:tc>
          <w:tcPr>
            <w:tcW w:type="dxa" w:w="2880"/>
          </w:tcPr>
          <w:p>
            <w:r>
              <w:t>+0.7%p (직장인구·시설·시간대 등 37종 추가)</w:t>
            </w:r>
          </w:p>
        </w:tc>
      </w:tr>
      <w:tr>
        <w:tc>
          <w:tcPr>
            <w:tcW w:type="dxa" w:w="2880"/>
          </w:tcPr>
          <w:p>
            <w:r>
              <w:t>high-vs-low (mid 보류)</w:t>
            </w:r>
          </w:p>
        </w:tc>
        <w:tc>
          <w:tcPr>
            <w:tcW w:type="dxa" w:w="2880"/>
          </w:tcPr>
          <w:p>
            <w:r>
              <w:t>0.896</w:t>
            </w:r>
          </w:p>
        </w:tc>
        <w:tc>
          <w:tcPr>
            <w:tcW w:type="dxa" w:w="2880"/>
          </w:tcPr>
          <w:p>
            <w:r>
              <w:t>기준선 50.7%, 전체의 67% 대상</w:t>
            </w:r>
          </w:p>
        </w:tc>
      </w:tr>
      <w:tr>
        <w:tc>
          <w:tcPr>
            <w:tcW w:type="dxa" w:w="2880"/>
          </w:tcPr>
          <w:p>
            <w:r>
              <w:t>high-vs-low + GridSearch 튜닝</w:t>
            </w:r>
          </w:p>
        </w:tc>
        <w:tc>
          <w:tcPr>
            <w:tcW w:type="dxa" w:w="2880"/>
          </w:tcPr>
          <w:p>
            <w:r>
              <w:t>≈0.90</w:t>
            </w:r>
          </w:p>
        </w:tc>
        <w:tc>
          <w:tcPr>
            <w:tcW w:type="dxa" w:w="2880"/>
          </w:tcPr>
          <w:p>
            <w:r>
              <w:t>최종 확정(누설 0, 강의범위 L08)</w:t>
            </w:r>
          </w:p>
        </w:tc>
      </w:tr>
    </w:tbl>
    <w:p>
      <w:r>
        <w:t>공시 필수: 2-class·중간등급 보류(전체의 33% abstain)·기준선 50%. 90%는 데이터/변수 추가가 아니라 라벨 재정의로만 정직하게 달성된다.</w:t>
      </w:r>
    </w:p>
    <w:p>
      <w:pPr>
        <w:pStyle w:val="Heading2"/>
      </w:pPr>
      <w:r>
        <w:t>5.10 최종 선정 모델</w:t>
      </w:r>
    </w:p>
    <w:p>
      <w:pPr>
        <w:pStyle w:val="ListBullet"/>
      </w:pPr>
      <w:r>
        <w:t>매출 축: 누설 제거 HistGB 분류기 P(high) — high-vs-low+튜닝 ~90%, 유동인구 등 확장 피처(149개) 포함.</w:t>
      </w:r>
    </w:p>
    <w:p>
      <w:pPr>
        <w:pStyle w:val="ListBullet"/>
      </w:pPr>
      <w:r>
        <w:t>생존 축: 평균 영업기간(측정 지수) — §6.7.</w:t>
      </w:r>
    </w:p>
    <w:p>
      <w:pPr>
        <w:pStyle w:val="ListBullet"/>
      </w:pPr>
      <w:r>
        <w:t>성능 카드(정직): 이진 84% / 명확등급 90% / 회귀 R²0.64. 모두 GroupKFold·홀드아웃 검증, 누설 0.</w:t>
      </w:r>
    </w:p>
    <w:p>
      <w:pPr>
        <w:pStyle w:val="Heading1"/>
      </w:pPr>
      <w:r>
        <w:t>§ 6. 결과 분석 및 해석 (정직본)</w:t>
      </w:r>
    </w:p>
    <w:p>
      <w:r>
        <w:t>본 장은 누설 제거 모델의 학습 결과를 변수 중요도·외부 검증(창업기상도 포함)·통합 입지점수·단일 통합 모델·정직한 한계의 관점에서 분석한다.</w:t>
      </w:r>
    </w:p>
    <w:p>
      <w:pPr>
        <w:pStyle w:val="Heading2"/>
      </w:pPr>
      <w:r>
        <w:t>6.1 변수 중요도 — 무엇이 매출을 결정하는가 (누설 제거)</w:t>
      </w:r>
    </w:p>
    <w:p>
      <w:r>
        <w:t>permutation importance(테스트셋) 기준, 누설 변수 제거 후 상위 변수는 다음과 같다.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순위</w:t>
            </w:r>
          </w:p>
        </w:tc>
        <w:tc>
          <w:tcPr>
            <w:tcW w:type="dxa" w:w="2880"/>
          </w:tcPr>
          <w:p>
            <w:r>
              <w:t>변수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lunch_bias</w:t>
            </w:r>
          </w:p>
        </w:tc>
        <w:tc>
          <w:tcPr>
            <w:tcW w:type="dxa" w:w="2880"/>
          </w:tcPr>
          <w:p>
            <w:r>
              <w:t>점심 매출 편중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age_entropy</w:t>
            </w:r>
          </w:p>
        </w:tc>
        <w:tc>
          <w:tcPr>
            <w:tcW w:type="dxa" w:w="2880"/>
          </w:tcPr>
          <w:p>
            <w:r>
              <w:t>연령 매출 분포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biz_한식음식점</w:t>
            </w:r>
          </w:p>
        </w:tc>
        <w:tc>
          <w:tcPr>
            <w:tcW w:type="dxa" w:w="2880"/>
          </w:tcPr>
          <w:p>
            <w:r>
              <w:t>업종 라벨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TOT_WRC_POPLTN_CO</w:t>
            </w:r>
          </w:p>
        </w:tc>
        <w:tc>
          <w:tcPr>
            <w:tcW w:type="dxa" w:w="2880"/>
          </w:tcPr>
          <w:p>
            <w:r>
              <w:t>직장인구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weekend_bias</w:t>
            </w:r>
          </w:p>
        </w:tc>
        <w:tc>
          <w:tcPr>
            <w:tcW w:type="dxa" w:w="2880"/>
          </w:tcPr>
          <w:p>
            <w:r>
              <w:t>주말 편중</w:t>
            </w:r>
          </w:p>
        </w:tc>
      </w:tr>
    </w:tbl>
    <w:p>
      <w:pPr>
        <w:pStyle w:val="ListBullet"/>
      </w:pPr>
      <w:r>
        <w:t>그룹 누적 기여: 카테고리 라벨 54.6%, 가공·파생 36.5%, raw 9.1%, 외부 변수 −0.18%(≈0).</w:t>
      </w:r>
    </w:p>
    <w:p>
      <w:pPr>
        <w:pStyle w:val="ListBullet"/>
      </w:pPr>
      <w:r>
        <w:t>핵심: 누설 제거 후 외부 변수(임대료·인구밀도)의 기여는 사실상 0이며, 예측은 업종·매출 시간패턴·연령분포·직장인구가 주도한다. 기존 "rent_to_sales 1위 / 외부데이터 가치" 서술은 누설 아티팩트였다.</w:t>
      </w:r>
    </w:p>
    <w:p>
      <w:pPr>
        <w:pStyle w:val="Heading2"/>
      </w:pPr>
      <w:r>
        <w:t>6.2 시기별·업종군별 패턴</w:t>
      </w:r>
    </w:p>
    <w:p>
      <w:r>
        <w:t>충격기(2020~2021) vs 회복기(2022~), 외식·소매·서비스 업종군별로 결정 변수가 다소 달라지나, 핵심 변수(업종·시간패턴·인구)는 공통이다.</w:t>
      </w:r>
    </w:p>
    <w:p>
      <w:pPr>
        <w:pStyle w:val="Heading2"/>
      </w:pPr>
      <w:r>
        <w:t>6.3 자치구·행정동 잔차 분석</w:t>
      </w:r>
    </w:p>
    <w:p>
      <w:r>
        <w:t>잔차 절대값 상위 행정동을 식별해 모델 약점 위치를 §8 한계에 명시한다. 행정동 단위는 표본이 적어 신뢰구간이 넓다.</w:t>
      </w:r>
    </w:p>
    <w:p>
      <w:pPr>
        <w:pStyle w:val="Heading2"/>
      </w:pPr>
      <w:r>
        <w:t>6.4 ★ 외부 검증 — 소상공인진흥공단 창업기상도 API (신규)</w:t>
      </w:r>
    </w:p>
    <w:p>
      <w:r>
        <w:t>정부 공식 창업기상도 API(자치구·업종·월, 5개 지표: 종합·경쟁력·생존력·전망·관심도)와 우리 모델을 비교했다. 상관(순위)뿐 아니라 값 일치도(공통 백분위에서 Cohen κ)까지 측정했다.</w:t>
      </w:r>
    </w:p>
    <w:p>
      <w:pPr>
        <w:pStyle w:val="Heading3"/>
      </w:pPr>
      <w:r>
        <w:t>6.4.1 종합·지표별 결과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우리 success_rate vs</w:t>
            </w:r>
          </w:p>
        </w:tc>
        <w:tc>
          <w:tcPr>
            <w:tcW w:type="dxa" w:w="2160"/>
          </w:tcPr>
          <w:p>
            <w:r>
              <w:t>상관 r</w:t>
            </w:r>
          </w:p>
        </w:tc>
        <w:tc>
          <w:tcPr>
            <w:tcW w:type="dxa" w:w="2160"/>
          </w:tcPr>
          <w:p>
            <w:r>
              <w:t>Cohen κ</w:t>
            </w:r>
          </w:p>
        </w:tc>
        <w:tc>
          <w:tcPr>
            <w:tcW w:type="dxa" w:w="2160"/>
          </w:tcPr>
          <w:p>
            <w:r>
              <w:t>해석</w:t>
            </w:r>
          </w:p>
        </w:tc>
      </w:tr>
      <w:tr>
        <w:tc>
          <w:tcPr>
            <w:tcW w:type="dxa" w:w="2160"/>
          </w:tcPr>
          <w:p>
            <w:r>
              <w:t>창업기상 종합</w:t>
            </w:r>
          </w:p>
        </w:tc>
        <w:tc>
          <w:tcPr>
            <w:tcW w:type="dxa" w:w="2160"/>
          </w:tcPr>
          <w:p>
            <w:r>
              <w:t>+0.04</w:t>
            </w:r>
          </w:p>
        </w:tc>
        <w:tc>
          <w:tcPr>
            <w:tcW w:type="dxa" w:w="2160"/>
          </w:tcPr>
          <w:p>
            <w:r>
              <w:t>+0.02</w:t>
            </w:r>
          </w:p>
        </w:tc>
        <w:tc>
          <w:tcPr>
            <w:tcW w:type="dxa" w:w="2160"/>
          </w:tcPr>
          <w:p>
            <w:r>
              <w:t>무관(다른 차원)</w:t>
            </w:r>
          </w:p>
        </w:tc>
      </w:tr>
      <w:tr>
        <w:tc>
          <w:tcPr>
            <w:tcW w:type="dxa" w:w="2160"/>
          </w:tcPr>
          <w:p>
            <w:r>
              <w:t>창업기상 생존</w:t>
            </w:r>
          </w:p>
        </w:tc>
        <w:tc>
          <w:tcPr>
            <w:tcW w:type="dxa" w:w="2160"/>
          </w:tcPr>
          <w:p>
            <w:r>
              <w:t>+0.02</w:t>
            </w:r>
          </w:p>
        </w:tc>
        <w:tc>
          <w:tcPr>
            <w:tcW w:type="dxa" w:w="2160"/>
          </w:tcPr>
          <w:p>
            <w:r>
              <w:t>−0.04</w:t>
            </w:r>
          </w:p>
        </w:tc>
        <w:tc>
          <w:tcPr>
            <w:tcW w:type="dxa" w:w="2160"/>
          </w:tcPr>
          <w:p>
            <w:r>
              <w:t>무관</w:t>
            </w:r>
          </w:p>
        </w:tc>
      </w:tr>
      <w:tr>
        <w:tc>
          <w:tcPr>
            <w:tcW w:type="dxa" w:w="2160"/>
          </w:tcPr>
          <w:p>
            <w:r>
              <w:t>창업기상 경쟁력</w:t>
            </w:r>
          </w:p>
        </w:tc>
        <w:tc>
          <w:tcPr>
            <w:tcW w:type="dxa" w:w="2160"/>
          </w:tcPr>
          <w:p>
            <w:r>
              <w:t>+0.12</w:t>
            </w:r>
          </w:p>
        </w:tc>
        <w:tc>
          <w:tcPr>
            <w:tcW w:type="dxa" w:w="2160"/>
          </w:tcPr>
          <w:p>
            <w:r>
              <w:t>+0.10</w:t>
            </w:r>
          </w:p>
        </w:tc>
        <w:tc>
          <w:tcPr>
            <w:tcW w:type="dxa" w:w="2160"/>
          </w:tcPr>
          <w:p>
            <w:r>
              <w:t>약한 일치(수요·매출)</w:t>
            </w:r>
          </w:p>
        </w:tc>
      </w:tr>
    </w:tbl>
    <w:p>
      <w:r>
        <w:t>우리 모델은 공단 종합·생존과는 상관도 값도 우연 수준(κ≈0)이고, 경쟁력(수요·매출)과만 약하게 일치한다. 즉 우리 모델은 매출·경쟁력 차원을 측정하며 공단의 생존 중심 종합지수와는 다른 것을 잰다(다른 정의·차원).</w:t>
      </w:r>
    </w:p>
    <w:p>
      <w:pPr>
        <w:pStyle w:val="Heading3"/>
      </w:pPr>
      <w:r>
        <w:t>6.4.2 생존축은 부분적으로 일치 — 과거 정착도 vs 미래 전망</w:t>
      </w:r>
    </w:p>
    <w:p>
      <w:r>
        <w:t>우리 생존축(평균 영업기간)을 별도로 창업기상 생존지표와 비교하면 r≈0.47(중간 일치)로, 생존 차원만 보면 어느 정도 같은 방향이다. 자치구 단위 생존 판정 일치율은 68%다.</w:t>
      </w:r>
    </w:p>
    <w:p>
      <w:pPr>
        <w:pStyle w:val="ListBullet"/>
      </w:pPr>
      <w:r>
        <w:t>겹침: 서초·종로·중구(둘 다 생존 좋음), 강남·마포·송파(둘 다 매출 높으나 생존 나쁨).</w:t>
      </w:r>
    </w:p>
    <w:p>
      <w:pPr>
        <w:pStyle w:val="ListBullet"/>
      </w:pPr>
      <w:r>
        <w:t>엇갈림(8곳)의 원인 = 측정 시점 차이. 우리(영업기간)=기존 점포의 과거 정착도(후행), API=신규 창업의 미래 전망(선행).</w:t>
      </w:r>
    </w:p>
    <w:p>
      <w:pPr>
        <w:pStyle w:val="ListBullet"/>
      </w:pPr>
      <w:r>
        <w:t>老·쇠퇴 지역(오래됐지만 폐업↑·전망↓: 관악·구로·금천·은평) → 우리↑·API↓. 신흥·개선 지역(신생이지만 전망↑·폐업↓: 강동·성동·노원·도봉·중랑) → 우리↓·API↑.</w:t>
      </w:r>
    </w:p>
    <w:p>
      <w:pPr>
        <w:pStyle w:val="Heading2"/>
      </w:pPr>
      <w:r>
        <w:t>6.5 서울시 변화지표 / 폐업 / KOSIS (보조 외부검증)</w:t>
      </w:r>
    </w:p>
    <w:p>
      <w:pPr>
        <w:pStyle w:val="ListBullet"/>
      </w:pPr>
      <w:r>
        <w:t>서울시 변화지표 API: 자치구 단위 상관 −0.10~−0.26(다른 차원, 보완재).</w:t>
      </w:r>
    </w:p>
    <w:p>
      <w:pPr>
        <w:pStyle w:val="ListBullet"/>
      </w:pPr>
      <w:r>
        <w:t>폐업 데이터: 자치구 단위 양의 상관은 규모 효과(점포 많음→매출·폐업 동시)로 모델 한계로 명시.</w:t>
      </w:r>
    </w:p>
    <w:p>
      <w:pPr>
        <w:pStyle w:val="ListBullet"/>
      </w:pPr>
      <w:r>
        <w:t>KOSIS 5년 생존율: 출처(표 ID/URL) 미확인 인용이라 검증 불가로 명시 — 단정에서 제외.</w:t>
      </w:r>
    </w:p>
    <w:p>
      <w:pPr>
        <w:pStyle w:val="Heading2"/>
      </w:pPr>
      <w:r>
        <w:t>6.6 ★ 통합 입지점수 — 매출 × 생존 (4사분면)</w:t>
      </w:r>
    </w:p>
    <w:p>
      <w:r>
        <w:t>두 축(매출 P(high)·평균 영업기간)을 업종·분기 내 백분위로 표준화해 0.5:0.5로 결합한 통합 입지점수를 산출하고, 4사분면(①최적 ②고위험·고수익 ③안정·저성장 ④회피)으로 의사결정 언어를 제공한다.</w:t>
      </w:r>
    </w:p>
    <w:p>
      <w:r>
        <w:t>예: 강남 커피 — 매출 최상위지만 생존 하위 → ②고위험·고수익. 단일 매출 모델이면 1순위였을 함정을 통합점수가 경고한다.</w:t>
      </w:r>
    </w:p>
    <w:p>
      <w:pPr>
        <w:pStyle w:val="Heading2"/>
      </w:pPr>
      <w:r>
        <w:t>6.7 생존 지표 설계 — 왜 평균 영업기간인가</w:t>
      </w:r>
    </w:p>
    <w:p>
      <w:r>
        <w:t>폐업률은 자치구·업종·분기 단위에서 87%가 0인 희소 사건이라 ML 예측 정확도가 67%(우연 53% 대비)에 그치고 split-half 신뢰도 0.28로 노이즈다. 따라서 생존을 ML로 예측하지 않고, 측정 지수인 평균 영업기간(신뢰도 r=0.94, 창업기상 생존과 r=0.47)으로 다룬다. 진짜 코호트 생존율은 행안부 인허가(개·폐업일) 데이터 재수집이 필요하다.</w:t>
      </w:r>
    </w:p>
    <w:p>
      <w:pPr>
        <w:pStyle w:val="Heading2"/>
      </w:pPr>
      <w:r>
        <w:t>6.8 ★ 단일 통합 모델 vs 2-모델 융합</w:t>
      </w:r>
    </w:p>
    <w:p>
      <w:r>
        <w:t>"성공=고매출&amp;장기영업"을 단일 타깃으로 입지 피처에서 직접 예측한 단일 통합 모델과, 두 축을 점수 결합한 융합을 비교했다.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접근</w:t>
            </w:r>
          </w:p>
        </w:tc>
        <w:tc>
          <w:tcPr>
            <w:tcW w:type="dxa" w:w="2880"/>
          </w:tcPr>
          <w:p>
            <w:r>
              <w:t>성공 식별 AUC</w:t>
            </w:r>
          </w:p>
        </w:tc>
        <w:tc>
          <w:tcPr>
            <w:tcW w:type="dxa" w:w="2880"/>
          </w:tcPr>
          <w:p>
            <w:r>
              <w:t>특징</w:t>
            </w:r>
          </w:p>
        </w:tc>
      </w:tr>
      <w:tr>
        <w:tc>
          <w:tcPr>
            <w:tcW w:type="dxa" w:w="2880"/>
          </w:tcPr>
          <w:p>
            <w:r>
              <w:t>단일 통합 모델</w:t>
            </w:r>
          </w:p>
        </w:tc>
        <w:tc>
          <w:tcPr>
            <w:tcW w:type="dxa" w:w="2880"/>
          </w:tcPr>
          <w:p>
            <w:r>
              <w:t>0.94 (정체성 제외 0.90)</w:t>
            </w:r>
          </w:p>
        </w:tc>
        <w:tc>
          <w:tcPr>
            <w:tcW w:type="dxa" w:w="2880"/>
          </w:tcPr>
          <w:p>
            <w:r>
              <w:t>예측력 우위, 해석 약함</w:t>
            </w:r>
          </w:p>
        </w:tc>
      </w:tr>
      <w:tr>
        <w:tc>
          <w:tcPr>
            <w:tcW w:type="dxa" w:w="2880"/>
          </w:tcPr>
          <w:p>
            <w:r>
              <w:t>2-모델 융합(0.5:0.5)</w:t>
            </w:r>
          </w:p>
        </w:tc>
        <w:tc>
          <w:tcPr>
            <w:tcW w:type="dxa" w:w="2880"/>
          </w:tcPr>
          <w:p>
            <w:r>
              <w:t>0.79</w:t>
            </w:r>
          </w:p>
        </w:tc>
        <w:tc>
          <w:tcPr>
            <w:tcW w:type="dxa" w:w="2880"/>
          </w:tcPr>
          <w:p>
            <w:r>
              <w:t>해석가능(4사분면), 진단 가능</w:t>
            </w:r>
          </w:p>
        </w:tc>
      </w:tr>
    </w:tbl>
    <w:p>
      <w:r>
        <w:t>예측력은 단일 모델이 우위(AUC 0.94, GroupKFold·실제 입지 신호)이나, 해석·진단은 융합이 우위다. 최종 권고: 단일 모델을 "성공 확률" 주 예측기로, 융합 4사분면을 진단·설명으로 병기한다.</w:t>
      </w:r>
    </w:p>
    <w:p>
      <w:pPr>
        <w:pStyle w:val="Heading2"/>
      </w:pPr>
      <w:r>
        <w:t>6.9 종합 통찰</w:t>
      </w:r>
    </w:p>
    <w:p>
      <w:pPr>
        <w:pStyle w:val="ListBullet"/>
      </w:pPr>
      <w:r>
        <w:t>초기 94%는 타깃 누설 산물이며 정직 성능은 84%(명확등급 90%)·R²0.64다.</w:t>
      </w:r>
    </w:p>
    <w:p>
      <w:pPr>
        <w:pStyle w:val="ListBullet"/>
      </w:pPr>
      <w:r>
        <w:t>외부 변수(임대료·인구밀도)의 정확도 기여는 사실상 0 — 예측은 업종·매출 시간패턴·인구가 주도.</w:t>
      </w:r>
    </w:p>
    <w:p>
      <w:pPr>
        <w:pStyle w:val="ListBullet"/>
      </w:pPr>
      <w:r>
        <w:t>우리 모델은 매출·경쟁력 차원으로, 공단 생존지수와 다른 것을 측정(보완재).</w:t>
      </w:r>
    </w:p>
    <w:p>
      <w:pPr>
        <w:pStyle w:val="ListBullet"/>
      </w:pPr>
      <w:r>
        <w:t>생존축(영업기간)은 공단 생존과 중간 일치(r0.47)하나, 과거 정착도(우리) vs 미래 전망(API)이라 전환기 지역에서 갈린다.</w:t>
      </w:r>
    </w:p>
    <w:p>
      <w:pPr>
        <w:pStyle w:val="ListBullet"/>
      </w:pPr>
      <w:r>
        <w:t>단일 통합 모델(AUC0.94)이 예측력 우위, 융합(4사분면)이 진단 우위 — 병기가 최선.</w:t>
      </w:r>
    </w:p>
    <w:p>
      <w:pPr>
        <w:pStyle w:val="Heading2"/>
      </w:pPr>
      <w:r>
        <w:t>6.10 ★ 정직한 한계 (§8 연계)</w:t>
      </w:r>
    </w:p>
    <w:p>
      <w:pPr>
        <w:pStyle w:val="ListBullet"/>
      </w:pPr>
      <w:r>
        <w:t>데이터 단위: 매출은 상권(자치구·업종·분기) 합계, per-store는 평균이며 개별 점포 매출·점포 간 분산 데이터가 없다. 따라서 본 모델은 상권 단위 매출 수준 스크리닝이며, 개별 점포의 매출·수익·리스크 예측이 아니다.</w:t>
      </w:r>
    </w:p>
    <w:p>
      <w:pPr>
        <w:pStyle w:val="ListBullet"/>
      </w:pPr>
      <w:r>
        <w:t>BEP·p_roi(손익분기 초과확률)는 실제 점포 분산이 아니라 모델 예측오차 기반이므로 참고용이다 — 진짜 리스크 추정이 아니다.</w:t>
      </w:r>
    </w:p>
    <w:p>
      <w:pPr>
        <w:pStyle w:val="ListBullet"/>
      </w:pPr>
      <w:r>
        <w:t>생존 평가는 본질적으로 어렵다 — 폐업은 희소·노이즈이고, 평균 영업기간은 측정 지수이며, 진짜 생존율은 코호트 데이터(인허가) 재수집이 필요하다.</w:t>
      </w:r>
    </w:p>
    <w:p>
      <w:pPr>
        <w:pStyle w:val="ListBullet"/>
      </w:pPr>
      <w:r>
        <w:t>"성공" 정의(고매출&amp;장기영업)는 값 선택이다 — 정의를 바꾸면 모델·결과가 달라지므로 정의를 명시·비교했다(7종 민감도 분석).</w:t>
      </w:r>
    </w:p>
    <w:p>
      <w:pPr>
        <w:pStyle w:val="ListBullet"/>
      </w:pPr>
      <w:r>
        <w:t>창업기상도 매칭은 2025 Q3·Q4 × 19개 업종으로 한정된다.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