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219158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f8mwt7fvtb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kjkdt3b8fm1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fx6dv92g0fc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hamjy28t6cv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Pruebas de Ejecución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jtzhtm701w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Criterio de Aprobación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14rxe3v028t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singl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2f8mwt7fvtb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67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785"/>
        <w:gridCol w:w="3045"/>
        <w:gridCol w:w="2190"/>
        <w:tblGridChange w:id="0">
          <w:tblGrid>
            <w:gridCol w:w="1650"/>
            <w:gridCol w:w="1785"/>
            <w:gridCol w:w="3045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Sprint Goal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confirmación de que las HU del Sprint 2 han sido "Aprobadas" por el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s6vgo6lgeo6w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tbl>
      <w:tblPr>
        <w:tblStyle w:val="Table3"/>
        <w:tblW w:w="8730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735"/>
        <w:gridCol w:w="2895"/>
        <w:tblGridChange w:id="0">
          <w:tblGrid>
            <w:gridCol w:w="2100"/>
            <w:gridCol w:w="3735"/>
            <w:gridCol w:w="2895"/>
          </w:tblGrid>
        </w:tblGridChange>
      </w:tblGrid>
      <w:tr>
        <w:trPr>
          <w:cantSplit w:val="1"/>
          <w:trHeight w:val="315" w:hRule="atLeast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rHeight w:val="355.9570312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 Paulina Contreras Vargas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jkdt3b8fm1a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Este desarrollo de la plataforma debe garantizar la trazabilidad, 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6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El principal objetivo durante este sprint es establecer las bases formales para el desarrollo del sistema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COREGEDOC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Esta etapa comenzará con la elaboración y aprobación del Acta de Constitución del Proyecto, que oficializa la iniciativa, definirá el alcance preliminar y asignará los recursos clave. Posteriormente, se llevará a cabo la Reunión de Lanzamiento (Kick-off) para alinear a todos los stakeholders y presentar la visión del proyecto. 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Finalmente, se ejecutará una exhaustiva fase de Toma de Requerimientos, esencial para capturar y documentar las funcionalidades necesarias (como el registro de asistencia, el manejo de minutas y la gestión de votaciones), asegurando así que las siguientes iteraciones se construyan sobre una comprensión sólida y validada de las necesidades del usuario.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Arial" w:cs="Arial" w:eastAsia="Arial" w:hAnsi="Arial"/>
          <w:color w:val="000000"/>
          <w:highlight w:val="white"/>
        </w:rPr>
      </w:pPr>
      <w:bookmarkStart w:colFirst="0" w:colLast="0" w:name="_heading=h.hamjy28t6cv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Pruebas de Ejecución</w:t>
      </w:r>
      <w:r w:rsidDel="00000000" w:rsidR="00000000" w:rsidRPr="00000000">
        <w:rPr>
          <w:rtl w:val="0"/>
        </w:rPr>
      </w:r>
    </w:p>
    <w:sdt>
      <w:sdtPr>
        <w:lock w:val="contentLocked"/>
        <w:id w:val="1322821357"/>
        <w:tag w:val="goog_rdk_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9.5"/>
            <w:gridCol w:w="2209.5"/>
            <w:gridCol w:w="2209.5"/>
            <w:gridCol w:w="2209.5"/>
            <w:tblGridChange w:id="0">
              <w:tblGrid>
                <w:gridCol w:w="2209.5"/>
                <w:gridCol w:w="2209.5"/>
                <w:gridCol w:w="2209.5"/>
                <w:gridCol w:w="22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Definición de Actividades.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CERRADA.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Informe de Tareas Cerradas (Gestión de Proyecto), Minuta de Retrospectiva.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Todas las tareas de desarrollo y configuración asociadas al Sprint han sido cerradas.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Acta de constitución del proyecto.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APROBADO.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Reunión con el cliente donde acepta el desarrollo del proyecto.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Aprobación formal del Product Owner del incremento de producto base.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Generación de Documentación Referente al Sprint.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FINALIZADA.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Product Backlog.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Criterios de aceptación de parte del cliente.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Lines w:val="1"/>
        <w:widowControl w:val="1"/>
        <w:spacing w:after="80" w:before="280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jtzhtm701ws" w:id="7"/>
      <w:bookmarkEnd w:id="7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1.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4rxe3v028tq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2160"/>
        <w:gridCol w:w="1770"/>
        <w:gridCol w:w="2175"/>
        <w:gridCol w:w="2490"/>
        <w:tblGridChange w:id="0">
          <w:tblGrid>
            <w:gridCol w:w="1035"/>
            <w:gridCol w:w="2160"/>
            <w:gridCol w:w="1770"/>
            <w:gridCol w:w="2175"/>
            <w:gridCol w:w="249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Lanzamiento (Kick-off).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Kick off.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Primera reunión con el cliente para comenzar con 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Requerimientos.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 de requerimientos.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de requerimientos funcionales y no funcionales.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backlog.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Historias de Usuario.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de Historias de usuario y criterios de aceptación.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ACTA CONSTITUCIÓN.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Constitución del proyecto.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de reunión inicial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 inicial de la plataforma.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Idea de diseño de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Riesgos.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riesgos inicial.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identifican los riesgos potenciales.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lLWALcKxz0HcZhwoey6F54slEw==">CgMxLjAaHwoBMBIaChgICVIUChJ0YWJsZS4zYnVoZGh2bHNvMjUyDmguODUxcGo0ZWZ3cGx5Mg5oLjJmOG13dDdmdnRiaDIOaC5zNnZnbzZsZ2VvNncyDmgucjd6MGptbnM0cDh0Mg5oLmtqa2R0M2I4Zm0xYTIOaC5meDZkdjkyZzBmY2syDmguaGFtankyOHQ2Y3Z1Mg1oLmp0emh0bTcwMXdzMg5oLjE0cnhlM3YwMjh0cTgAciExYjRoSGFUMmRtc0U5RTBDeGZlX1BVRW85VzlmNjNvQ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