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97" w:rsidRDefault="008E2A97" w:rsidP="00C24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27"/>
          <w:szCs w:val="27"/>
          <w:u w:val="single"/>
        </w:rPr>
        <w:t>Variables and Formats</w:t>
      </w:r>
      <w:proofErr w:type="gramStart"/>
      <w:r>
        <w:rPr>
          <w:b/>
          <w:bCs/>
          <w:color w:val="000000"/>
          <w:sz w:val="27"/>
          <w:szCs w:val="27"/>
          <w:u w:val="single"/>
        </w:rPr>
        <w:t>:</w:t>
      </w:r>
      <w:proofErr w:type="gramEnd"/>
      <w:r>
        <w:rPr>
          <w:color w:val="000000"/>
          <w:sz w:val="27"/>
          <w:szCs w:val="27"/>
        </w:rPr>
        <w:br/>
        <w:t>• </w:t>
      </w:r>
      <w:bookmarkStart w:id="0" w:name="_GoBack"/>
      <w:r>
        <w:fldChar w:fldCharType="begin"/>
      </w:r>
      <w:r>
        <w:instrText xml:space="preserve"> HYPERLINK "http://acct.wharton.upenn.edu/faculty/bushee/IIvars.html" \l "mgrno" </w:instrText>
      </w:r>
      <w:r>
        <w:fldChar w:fldCharType="separate"/>
      </w:r>
      <w:r>
        <w:rPr>
          <w:rStyle w:val="apple-converted-space"/>
          <w:color w:val="0000FF"/>
          <w:sz w:val="27"/>
          <w:szCs w:val="27"/>
          <w:u w:val="single"/>
        </w:rPr>
        <w:t> </w:t>
      </w:r>
      <w:r>
        <w:rPr>
          <w:rStyle w:val="Hyperlink"/>
          <w:sz w:val="27"/>
          <w:szCs w:val="27"/>
        </w:rPr>
        <w:t>Spectrum manager number (5.)</w:t>
      </w:r>
      <w:r>
        <w:fldChar w:fldCharType="end"/>
      </w:r>
      <w:r>
        <w:rPr>
          <w:color w:val="000000"/>
          <w:sz w:val="27"/>
          <w:szCs w:val="27"/>
        </w:rPr>
        <w:br/>
        <w:t>• </w:t>
      </w:r>
      <w:hyperlink r:id="rId6" w:anchor="mc" w:history="1">
        <w:r>
          <w:rPr>
            <w:rStyle w:val="apple-converted-space"/>
            <w:color w:val="0000FF"/>
            <w:sz w:val="27"/>
            <w:szCs w:val="27"/>
            <w:u w:val="single"/>
          </w:rPr>
          <w:t> </w:t>
        </w:r>
        <w:r>
          <w:rPr>
            <w:rStyle w:val="Hyperlink"/>
            <w:sz w:val="27"/>
            <w:szCs w:val="27"/>
          </w:rPr>
          <w:t>Manager number version (1.)</w:t>
        </w:r>
      </w:hyperlink>
      <w:r>
        <w:rPr>
          <w:color w:val="000000"/>
          <w:sz w:val="27"/>
          <w:szCs w:val="27"/>
        </w:rPr>
        <w:br/>
        <w:t>• </w:t>
      </w:r>
      <w:hyperlink r:id="rId7" w:anchor="pky" w:history="1">
        <w:r>
          <w:rPr>
            <w:rStyle w:val="apple-converted-space"/>
            <w:color w:val="0000FF"/>
            <w:sz w:val="27"/>
            <w:szCs w:val="27"/>
            <w:u w:val="single"/>
          </w:rPr>
          <w:t> </w:t>
        </w:r>
        <w:r>
          <w:rPr>
            <w:rStyle w:val="Hyperlink"/>
            <w:sz w:val="27"/>
            <w:szCs w:val="27"/>
          </w:rPr>
          <w:t>Permanent key (5.)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• </w:t>
      </w:r>
      <w:hyperlink r:id="rId8" w:anchor="yr" w:history="1">
        <w:r>
          <w:rPr>
            <w:rStyle w:val="apple-converted-space"/>
            <w:color w:val="0000FF"/>
            <w:sz w:val="27"/>
            <w:szCs w:val="27"/>
            <w:u w:val="single"/>
          </w:rPr>
          <w:t> </w:t>
        </w:r>
        <w:r>
          <w:rPr>
            <w:rStyle w:val="Hyperlink"/>
            <w:sz w:val="27"/>
            <w:szCs w:val="27"/>
          </w:rPr>
          <w:t>Year (4.)</w:t>
        </w:r>
      </w:hyperlink>
      <w:r>
        <w:rPr>
          <w:color w:val="000000"/>
          <w:sz w:val="27"/>
          <w:szCs w:val="27"/>
        </w:rPr>
        <w:br/>
        <w:t>• </w:t>
      </w:r>
      <w:hyperlink r:id="rId9" w:anchor="typ" w:history="1">
        <w:r>
          <w:rPr>
            <w:rStyle w:val="apple-converted-space"/>
            <w:color w:val="0000FF"/>
            <w:sz w:val="27"/>
            <w:szCs w:val="27"/>
            <w:u w:val="single"/>
          </w:rPr>
          <w:t> </w:t>
        </w:r>
        <w:r>
          <w:rPr>
            <w:rStyle w:val="Hyperlink"/>
            <w:sz w:val="27"/>
            <w:szCs w:val="27"/>
          </w:rPr>
          <w:t>Type ($3.)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• </w:t>
      </w:r>
      <w:hyperlink r:id="rId10" w:anchor="tqd" w:history="1">
        <w:r>
          <w:rPr>
            <w:rStyle w:val="apple-converted-space"/>
            <w:color w:val="0000FF"/>
            <w:sz w:val="27"/>
            <w:szCs w:val="27"/>
            <w:u w:val="single"/>
          </w:rPr>
          <w:t> </w:t>
        </w:r>
        <w:r>
          <w:rPr>
            <w:rStyle w:val="Hyperlink"/>
            <w:sz w:val="27"/>
            <w:szCs w:val="27"/>
          </w:rPr>
          <w:t>Transient/Quasi-indexer/Dedicated classification ($3.)</w:t>
        </w:r>
      </w:hyperlink>
      <w:r>
        <w:rPr>
          <w:color w:val="000000"/>
          <w:sz w:val="27"/>
          <w:szCs w:val="27"/>
        </w:rPr>
        <w:br/>
        <w:t>• </w:t>
      </w:r>
      <w:hyperlink r:id="rId11" w:anchor="ptqd" w:history="1">
        <w:r>
          <w:rPr>
            <w:rStyle w:val="apple-converted-space"/>
            <w:color w:val="0000FF"/>
            <w:sz w:val="27"/>
            <w:szCs w:val="27"/>
            <w:u w:val="single"/>
          </w:rPr>
          <w:t> </w:t>
        </w:r>
        <w:r>
          <w:rPr>
            <w:rStyle w:val="Hyperlink"/>
            <w:sz w:val="27"/>
            <w:szCs w:val="27"/>
          </w:rPr>
          <w:t>Permanent Transient/Quasi-indexer/Dedicated classification ($3.)</w:t>
        </w:r>
      </w:hyperlink>
      <w:r>
        <w:rPr>
          <w:color w:val="000000"/>
          <w:sz w:val="27"/>
          <w:szCs w:val="27"/>
        </w:rPr>
        <w:br/>
        <w:t>• </w:t>
      </w:r>
      <w:hyperlink r:id="rId12" w:anchor="is" w:history="1">
        <w:r>
          <w:rPr>
            <w:rStyle w:val="apple-converted-space"/>
            <w:color w:val="0000FF"/>
            <w:sz w:val="27"/>
            <w:szCs w:val="27"/>
            <w:u w:val="single"/>
          </w:rPr>
          <w:t> </w:t>
        </w:r>
        <w:r>
          <w:rPr>
            <w:rStyle w:val="Hyperlink"/>
            <w:sz w:val="27"/>
            <w:szCs w:val="27"/>
          </w:rPr>
          <w:t>Investment style classification ($3.)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• </w:t>
      </w:r>
      <w:hyperlink r:id="rId13" w:anchor="pis" w:history="1">
        <w:r>
          <w:rPr>
            <w:rStyle w:val="apple-converted-space"/>
            <w:color w:val="0000FF"/>
            <w:sz w:val="27"/>
            <w:szCs w:val="27"/>
            <w:u w:val="single"/>
          </w:rPr>
          <w:t> </w:t>
        </w:r>
        <w:r>
          <w:rPr>
            <w:rStyle w:val="Hyperlink"/>
            <w:sz w:val="27"/>
            <w:szCs w:val="27"/>
          </w:rPr>
          <w:t>Permanent Investment style classification ($3.)</w:t>
        </w:r>
      </w:hyperlink>
      <w:r>
        <w:rPr>
          <w:color w:val="000000"/>
          <w:sz w:val="27"/>
          <w:szCs w:val="27"/>
        </w:rPr>
        <w:br/>
        <w:t>• </w:t>
      </w:r>
      <w:hyperlink r:id="rId14" w:anchor="gs" w:history="1">
        <w:r>
          <w:rPr>
            <w:rStyle w:val="apple-converted-space"/>
            <w:color w:val="0000FF"/>
            <w:sz w:val="27"/>
            <w:szCs w:val="27"/>
            <w:u w:val="single"/>
          </w:rPr>
          <w:t> </w:t>
        </w:r>
        <w:r>
          <w:rPr>
            <w:rStyle w:val="Hyperlink"/>
            <w:sz w:val="27"/>
            <w:szCs w:val="27"/>
          </w:rPr>
          <w:t>Growth style classification ($3.)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• </w:t>
      </w:r>
      <w:hyperlink r:id="rId15" w:anchor="pgs" w:history="1">
        <w:r>
          <w:rPr>
            <w:rStyle w:val="apple-converted-space"/>
            <w:color w:val="0000FF"/>
            <w:sz w:val="27"/>
            <w:szCs w:val="27"/>
            <w:u w:val="single"/>
          </w:rPr>
          <w:t> </w:t>
        </w:r>
        <w:r>
          <w:rPr>
            <w:rStyle w:val="Hyperlink"/>
            <w:sz w:val="27"/>
            <w:szCs w:val="27"/>
          </w:rPr>
          <w:t>Permanent growth style classification ($3.)</w:t>
        </w:r>
      </w:hyperlink>
      <w:bookmarkEnd w:id="0"/>
    </w:p>
    <w:p w:rsidR="00C24637" w:rsidRPr="00C24637" w:rsidRDefault="00C24637" w:rsidP="00C24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C246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Institutional Investor Classification Data</w:t>
      </w:r>
      <w:proofErr w:type="gramStart"/>
      <w:r w:rsidRPr="00C246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proofErr w:type="gramEnd"/>
      <w:r w:rsidRPr="00C2463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Variable Definitions</w:t>
      </w:r>
      <w:r w:rsidRPr="00C2463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2463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(Website updated on Jun 10, 2014)</w:t>
      </w:r>
    </w:p>
    <w:p w:rsidR="00C24637" w:rsidRPr="00C24637" w:rsidRDefault="00C24637" w:rsidP="00C24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mgrno"/>
      <w:bookmarkEnd w:id="1"/>
      <w:r w:rsidRPr="00C246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Spectrum manager number</w:t>
      </w:r>
    </w:p>
    <w:tbl>
      <w:tblPr>
        <w:tblW w:w="3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903"/>
      </w:tblGrid>
      <w:tr w:rsidR="00C24637" w:rsidRPr="00C24637" w:rsidTr="00C24637">
        <w:trPr>
          <w:tblCellSpacing w:w="15" w:type="dxa"/>
        </w:trPr>
        <w:tc>
          <w:tcPr>
            <w:tcW w:w="1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fund manager number used by the Spectrum database, which WRDS labels as “</w:t>
            </w:r>
            <w:proofErr w:type="spellStart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mgrno</w:t>
            </w:r>
            <w:proofErr w:type="spellEnd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C24637" w:rsidRPr="00C24637" w:rsidTr="00C2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2463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0"/>
                  <w:u w:val="single"/>
                </w:rPr>
                <w:t>Return to data page</w:t>
              </w:r>
            </w:hyperlink>
          </w:p>
        </w:tc>
      </w:tr>
    </w:tbl>
    <w:p w:rsidR="00C24637" w:rsidRPr="00C24637" w:rsidRDefault="00C24637" w:rsidP="00C24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2" w:name="mc"/>
      <w:bookmarkEnd w:id="2"/>
      <w:r w:rsidRPr="00C246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Manager number version</w:t>
      </w:r>
    </w:p>
    <w:tbl>
      <w:tblPr>
        <w:tblW w:w="3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903"/>
      </w:tblGrid>
      <w:tr w:rsidR="00C24637" w:rsidRPr="00C24637" w:rsidTr="00C24637">
        <w:trPr>
          <w:tblCellSpacing w:w="15" w:type="dxa"/>
        </w:trPr>
        <w:tc>
          <w:tcPr>
            <w:tcW w:w="1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Spectrum recycles manager numbers. I assign a new version number every time there is more than a two quarter break in holdings information for a manager number. I use this information to help update the permanent key (see below).</w:t>
            </w:r>
          </w:p>
        </w:tc>
      </w:tr>
      <w:tr w:rsidR="00C24637" w:rsidRPr="00C24637" w:rsidTr="00C2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2463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0"/>
                  <w:u w:val="single"/>
                </w:rPr>
                <w:t>Return to data page</w:t>
              </w:r>
            </w:hyperlink>
          </w:p>
        </w:tc>
      </w:tr>
    </w:tbl>
    <w:p w:rsidR="00C24637" w:rsidRPr="00C24637" w:rsidRDefault="00C24637" w:rsidP="00C24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3" w:name="pky"/>
      <w:bookmarkEnd w:id="3"/>
      <w:r w:rsidRPr="00C246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Permanent key</w:t>
      </w:r>
    </w:p>
    <w:tbl>
      <w:tblPr>
        <w:tblW w:w="3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903"/>
      </w:tblGrid>
      <w:tr w:rsidR="00C24637" w:rsidRPr="00C24637" w:rsidTr="00C24637">
        <w:trPr>
          <w:tblCellSpacing w:w="15" w:type="dxa"/>
        </w:trPr>
        <w:tc>
          <w:tcPr>
            <w:tcW w:w="1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For a few years, Spectrum assigned fund managers a permanent key to allow researchers to merge the 13F data with the mutual fund data. Spectrum has discontinued this data item, but I have used it as a basis to tie together the holdings history for fund managers that change manager numbers. My RAs and I have created permanent keys for managers that did not have them assigned by Spectrum and have updated them over time. Given this procedure, I cannot guarantee that these histories are 100% accurate. Please contact me if you find any errors in this assignment and I will update the dataset.</w:t>
            </w:r>
          </w:p>
        </w:tc>
      </w:tr>
      <w:tr w:rsidR="00C24637" w:rsidRPr="00C24637" w:rsidTr="00C2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2463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0"/>
                  <w:u w:val="single"/>
                </w:rPr>
                <w:t>Return to data page</w:t>
              </w:r>
            </w:hyperlink>
          </w:p>
        </w:tc>
      </w:tr>
    </w:tbl>
    <w:p w:rsidR="00C24637" w:rsidRPr="00C24637" w:rsidRDefault="00C24637" w:rsidP="00C24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4" w:name="yr"/>
      <w:bookmarkEnd w:id="4"/>
      <w:r w:rsidRPr="00C246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Year</w:t>
      </w:r>
    </w:p>
    <w:tbl>
      <w:tblPr>
        <w:tblW w:w="3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903"/>
      </w:tblGrid>
      <w:tr w:rsidR="00C24637" w:rsidRPr="00C24637" w:rsidTr="00C24637">
        <w:trPr>
          <w:tblCellSpacing w:w="15" w:type="dxa"/>
        </w:trPr>
        <w:tc>
          <w:tcPr>
            <w:tcW w:w="1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calendar year of the classification. In classifying institutions, I compute averages across the four holdings reports for each calendar year.</w:t>
            </w:r>
          </w:p>
        </w:tc>
      </w:tr>
      <w:tr w:rsidR="00C24637" w:rsidRPr="00C24637" w:rsidTr="00C2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2463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0"/>
                  <w:u w:val="single"/>
                </w:rPr>
                <w:t>Return to data page</w:t>
              </w:r>
            </w:hyperlink>
          </w:p>
        </w:tc>
      </w:tr>
    </w:tbl>
    <w:p w:rsidR="00C24637" w:rsidRPr="00C24637" w:rsidRDefault="00C24637" w:rsidP="00C24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5" w:name="typ"/>
      <w:bookmarkEnd w:id="5"/>
      <w:r w:rsidRPr="00C246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Type</w:t>
      </w:r>
    </w:p>
    <w:tbl>
      <w:tblPr>
        <w:tblW w:w="3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903"/>
      </w:tblGrid>
      <w:tr w:rsidR="00C24637" w:rsidRPr="00C24637" w:rsidTr="00C24637">
        <w:trPr>
          <w:tblCellSpacing w:w="15" w:type="dxa"/>
        </w:trPr>
        <w:tc>
          <w:tcPr>
            <w:tcW w:w="1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legal type of the institutional investor, using the following code: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BNK = bank trust (Spectrum type code 1)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INS = insurance company (2)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INV = investment company (3)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IIA = independent investment advisor (4)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CPS = corporate (private) pension fund (5)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PPS = public pension fund (5)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UFE = university and foundation endowments (5)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MSC = miscellaneous (5)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As noted on the WRDS website, the type code variable on Spectrum is not reliable after 1998. I have taken the “reliable” Spectrum type codes and carried them forward in time for institutions still in existence after 1998. For new institutions, my RAs and I have attempted to assign a type code based on searches for information about the fund manager. In doing so, we have not attempted to distinguish between type code 3 and type code 4. In my research, I merge these two types into one group. In addition, we have taken the type code 5 group (“other”) and attempted to determine whether the fund manager was a private pension, public pension, or an endowment. All other institutions were classified as “miscellaneous”. Given this procedure, I cannot guarantee that these histories are 100% accurate. Please contact me if you find any errors in this assignment and I will update the dataset.</w:t>
            </w:r>
          </w:p>
        </w:tc>
      </w:tr>
      <w:tr w:rsidR="00C24637" w:rsidRPr="00C24637" w:rsidTr="00C2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2463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0"/>
                  <w:u w:val="single"/>
                </w:rPr>
                <w:t>Return to data page</w:t>
              </w:r>
            </w:hyperlink>
          </w:p>
        </w:tc>
      </w:tr>
    </w:tbl>
    <w:p w:rsidR="00C24637" w:rsidRPr="00C24637" w:rsidRDefault="00C24637" w:rsidP="00C24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6" w:name="tqd"/>
      <w:bookmarkEnd w:id="6"/>
      <w:r w:rsidRPr="00C246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Transient/Quasi-indexer/Dedicated classification</w:t>
      </w:r>
    </w:p>
    <w:tbl>
      <w:tblPr>
        <w:tblW w:w="3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903"/>
      </w:tblGrid>
      <w:tr w:rsidR="00C24637" w:rsidRPr="00C24637" w:rsidTr="00C24637">
        <w:trPr>
          <w:tblCellSpacing w:w="15" w:type="dxa"/>
        </w:trPr>
        <w:tc>
          <w:tcPr>
            <w:tcW w:w="1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This classification uses the following code</w:t>
            </w:r>
            <w:proofErr w:type="gramStart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DED = dedicated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QIX = quasi-indexer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TRA = transient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  <w:t>This classification is based on the one used in </w:t>
            </w:r>
            <w:proofErr w:type="spellStart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"http://acct.wharton.upenn.edu/faculty/bushee/bb01.pdf" </w:instrTex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Bushee</w:t>
            </w:r>
            <w:proofErr w:type="spellEnd"/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(2001)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proofErr w:type="spellStart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"http://acct.wharton.upenn.edu/faculty/bushee/bn01.pdf" </w:instrTex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Bushee</w:t>
            </w:r>
            <w:proofErr w:type="spellEnd"/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and </w:t>
            </w:r>
            <w:proofErr w:type="spellStart"/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Noe</w:t>
            </w:r>
            <w:proofErr w:type="spellEnd"/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(2000)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. Note that I changed my classification scheme after the </w:t>
            </w:r>
            <w:proofErr w:type="spellStart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"http://acct.wharton.upenn.edu/faculty/bushee/bb98.pdf" </w:instrTex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Bushee</w:t>
            </w:r>
            <w:proofErr w:type="spellEnd"/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(1998)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paper by dropping the momentum variables to allow it to be used in more general situations. I extended those classifications by applying the factor loadings reported in those papers to the more recent data to compute factor scores, which I used to add the new data to the existing clusters. If a fund has no classification for a given year, it means that some of the data was missing, the fund has a small portfolio (i.e., fewer than four stocks that have available CRSP and </w:t>
            </w:r>
            <w:proofErr w:type="spellStart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Compustat</w:t>
            </w:r>
            <w:proofErr w:type="spellEnd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data), or the fund has not been listed on Spectrum for two years. As a consequence of these restrictions, not all of the institutions have been classified using this approach. There are a large number of unclassified institutions in the past five years, primarily due to growth in the number of new fund managers. For a potential solution to this problem, please see the data item below.</w:t>
            </w:r>
          </w:p>
        </w:tc>
      </w:tr>
      <w:tr w:rsidR="00C24637" w:rsidRPr="00C24637" w:rsidTr="00C2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C2463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0"/>
                  <w:u w:val="single"/>
                </w:rPr>
                <w:t>Return to data page</w:t>
              </w:r>
            </w:hyperlink>
          </w:p>
        </w:tc>
      </w:tr>
    </w:tbl>
    <w:p w:rsidR="00C24637" w:rsidRPr="00C24637" w:rsidRDefault="00C24637" w:rsidP="00C24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7" w:name="ptqd"/>
      <w:bookmarkEnd w:id="7"/>
      <w:r w:rsidRPr="00C246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Permanent Transient/Quasi-indexer/Dedicated classification</w:t>
      </w:r>
    </w:p>
    <w:tbl>
      <w:tblPr>
        <w:tblW w:w="3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903"/>
      </w:tblGrid>
      <w:tr w:rsidR="00C24637" w:rsidRPr="00C24637" w:rsidTr="00C24637">
        <w:trPr>
          <w:tblCellSpacing w:w="15" w:type="dxa"/>
        </w:trPr>
        <w:tc>
          <w:tcPr>
            <w:tcW w:w="1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Using the permanent key variable we created, I find the modal classification for each permanent key and assign that classification to each year of data for the fund manager.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This approach potentially helps solve the following problems:</w:t>
            </w:r>
          </w:p>
          <w:p w:rsidR="00C24637" w:rsidRPr="00C24637" w:rsidRDefault="00C24637" w:rsidP="00C24637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Some fund managers, especially those that manage a large number of mutual funds, have classifications that frequently shift across years (the first-order autocorrelation in the classifications is generally around 0.8). This approach fixes the classification across time to the most common classification.</w:t>
            </w:r>
          </w:p>
          <w:p w:rsidR="00C24637" w:rsidRPr="00C24637" w:rsidRDefault="00C24637" w:rsidP="00C24637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Because fund manager classifications can change, it is generally not a good idea to compute changes in holdings for a given type as the difference between the percentage ownership by the type in one period and percentage ownership by the type in a prior period. Such a measure would consider a fund that does not change its holdings, but does change its type, to be a change in holdings by the type. The permanent approach eliminates this potential problem.</w:t>
            </w:r>
          </w:p>
          <w:p w:rsidR="00C24637" w:rsidRPr="00C24637" w:rsidRDefault="00C24637" w:rsidP="00C2463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As noted above, in the first two years of a fund's history, I cannot compute its classification. This approach allows me to fill in some of this missing data.</w:t>
            </w:r>
          </w:p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 approach has the following drawbacks: </w:t>
            </w:r>
          </w:p>
          <w:p w:rsidR="00C24637" w:rsidRPr="00C24637" w:rsidRDefault="00C24637" w:rsidP="00C24637">
            <w:pPr>
              <w:numPr>
                <w:ilvl w:val="0"/>
                <w:numId w:val="2"/>
              </w:num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Some fund managers likely do change their trading orientation over time. Using the modal classification obscures such changes.</w:t>
            </w:r>
          </w:p>
          <w:p w:rsidR="00C24637" w:rsidRPr="00C24637" w:rsidRDefault="00C24637" w:rsidP="00C2463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The modal classification is based on my permanent key, which may not be 100% accurate. A potentially safer way to compute this variable would be to take the modal classification across manager number and manager version number. Note: you do not want to compute the mode by manager number alone as this is recycled and may combine different managers in the measure.</w:t>
            </w:r>
          </w:p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I have tended to use this modal classification scheme in my work, but you should make your own call based on this trade-off.</w:t>
            </w:r>
          </w:p>
        </w:tc>
      </w:tr>
      <w:tr w:rsidR="00C24637" w:rsidRPr="00C24637" w:rsidTr="00C2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2463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0"/>
                  <w:u w:val="single"/>
                </w:rPr>
                <w:t>Return to data page</w:t>
              </w:r>
            </w:hyperlink>
          </w:p>
        </w:tc>
      </w:tr>
    </w:tbl>
    <w:p w:rsidR="00C24637" w:rsidRPr="00C24637" w:rsidRDefault="00C24637" w:rsidP="00C24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8" w:name="is"/>
      <w:bookmarkEnd w:id="8"/>
      <w:r w:rsidRPr="00C246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Investment style classification</w:t>
      </w:r>
    </w:p>
    <w:tbl>
      <w:tblPr>
        <w:tblW w:w="3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903"/>
      </w:tblGrid>
      <w:tr w:rsidR="00C24637" w:rsidRPr="00C24637" w:rsidTr="00C24637">
        <w:trPr>
          <w:tblCellSpacing w:w="15" w:type="dxa"/>
        </w:trPr>
        <w:tc>
          <w:tcPr>
            <w:tcW w:w="1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In </w:t>
            </w:r>
            <w:proofErr w:type="spellStart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"http://acct.wharton.upenn.edu/faculty/bushee/abr03.pdf" </w:instrTex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Abarbanell</w:t>
            </w:r>
            <w:proofErr w:type="spellEnd"/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Bushee</w:t>
            </w:r>
            <w:proofErr w:type="spellEnd"/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Raedy</w:t>
            </w:r>
            <w:proofErr w:type="spellEnd"/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(2003)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, we classified institutions based on investment styles or preferences for firm size and growth, using the following code</w:t>
            </w:r>
            <w:proofErr w:type="gramStart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LVA = Large Value style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LGR = Large Growth style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SVA = Small Value style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SGR = Small Growth style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As discussed in that paper, this classification stems from a cluster analysis on a firm size factor and a value/growth factor. Please see the paper for more details.</w:t>
            </w:r>
          </w:p>
        </w:tc>
      </w:tr>
      <w:tr w:rsidR="00C24637" w:rsidRPr="00C24637" w:rsidTr="00C2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2463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0"/>
                  <w:u w:val="single"/>
                </w:rPr>
                <w:t>Return to data page</w:t>
              </w:r>
            </w:hyperlink>
          </w:p>
        </w:tc>
      </w:tr>
    </w:tbl>
    <w:p w:rsidR="00C24637" w:rsidRPr="00C24637" w:rsidRDefault="00C24637" w:rsidP="00C24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9" w:name="pis"/>
      <w:bookmarkEnd w:id="9"/>
      <w:r w:rsidRPr="00C246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Permanent Investment style classification</w:t>
      </w:r>
    </w:p>
    <w:tbl>
      <w:tblPr>
        <w:tblW w:w="3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903"/>
      </w:tblGrid>
      <w:tr w:rsidR="00C24637" w:rsidRPr="00C24637" w:rsidTr="00C24637">
        <w:trPr>
          <w:tblCellSpacing w:w="15" w:type="dxa"/>
        </w:trPr>
        <w:tc>
          <w:tcPr>
            <w:tcW w:w="1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This classification is based on the modal classification for each permanent key. See </w:t>
            </w:r>
            <w:hyperlink r:id="rId24" w:anchor="p" w:history="1">
              <w:r w:rsidRPr="00C246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above </w:t>
              </w:r>
            </w:hyperlink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for more details.</w:t>
            </w:r>
          </w:p>
        </w:tc>
      </w:tr>
      <w:tr w:rsidR="00C24637" w:rsidRPr="00C24637" w:rsidTr="00C2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2463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0"/>
                  <w:u w:val="single"/>
                </w:rPr>
                <w:t>Return to data page</w:t>
              </w:r>
            </w:hyperlink>
          </w:p>
        </w:tc>
      </w:tr>
    </w:tbl>
    <w:p w:rsidR="00C24637" w:rsidRPr="00C24637" w:rsidRDefault="00C24637" w:rsidP="00C24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0" w:name="gs"/>
      <w:bookmarkEnd w:id="10"/>
      <w:r w:rsidRPr="00C246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Growth style classification</w:t>
      </w:r>
    </w:p>
    <w:tbl>
      <w:tblPr>
        <w:tblW w:w="3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903"/>
      </w:tblGrid>
      <w:tr w:rsidR="00C24637" w:rsidRPr="00C24637" w:rsidTr="00C24637">
        <w:trPr>
          <w:tblCellSpacing w:w="15" w:type="dxa"/>
        </w:trPr>
        <w:tc>
          <w:tcPr>
            <w:tcW w:w="1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In </w:t>
            </w:r>
            <w:proofErr w:type="spellStart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"http://acct.wharton.upenn.edu/faculty/bushee/bg07.pdf" </w:instrTex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Bushee</w:t>
            </w:r>
            <w:proofErr w:type="spellEnd"/>
            <w:r w:rsidRPr="00C24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and Goodman (2007)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, we classified institutions based on preferences for growth or value firms, using the following code</w:t>
            </w:r>
            <w:proofErr w:type="gramStart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GRO = Growth style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VAL = Value style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G&amp;I = Growth &amp; Income style (middle group) </w:t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As discussed in that paper, this classification stems from a cluster analysis on a value/growth factor. Please see the paper for more details.</w:t>
            </w:r>
          </w:p>
        </w:tc>
      </w:tr>
      <w:tr w:rsidR="00C24637" w:rsidRPr="00C24637" w:rsidTr="00C2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2463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0"/>
                  <w:u w:val="single"/>
                </w:rPr>
                <w:t>Return to data page</w:t>
              </w:r>
            </w:hyperlink>
          </w:p>
        </w:tc>
      </w:tr>
    </w:tbl>
    <w:p w:rsidR="00C24637" w:rsidRPr="00C24637" w:rsidRDefault="00C24637" w:rsidP="00C246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1" w:name="pgs"/>
      <w:bookmarkEnd w:id="11"/>
      <w:r w:rsidRPr="00C2463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Permanent Growth style classification</w:t>
      </w:r>
    </w:p>
    <w:tbl>
      <w:tblPr>
        <w:tblW w:w="3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903"/>
      </w:tblGrid>
      <w:tr w:rsidR="00C24637" w:rsidRPr="00C24637" w:rsidTr="00C24637">
        <w:trPr>
          <w:tblCellSpacing w:w="15" w:type="dxa"/>
        </w:trPr>
        <w:tc>
          <w:tcPr>
            <w:tcW w:w="1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This classification is based on the modal classification for each permanent key. See </w:t>
            </w:r>
            <w:hyperlink r:id="rId27" w:anchor="p" w:history="1">
              <w:r w:rsidRPr="00C2463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above </w:t>
              </w:r>
            </w:hyperlink>
            <w:r w:rsidRPr="00C24637">
              <w:rPr>
                <w:rFonts w:ascii="Times New Roman" w:eastAsia="Times New Roman" w:hAnsi="Times New Roman" w:cs="Times New Roman"/>
                <w:sz w:val="24"/>
                <w:szCs w:val="24"/>
              </w:rPr>
              <w:t>for more details.</w:t>
            </w:r>
          </w:p>
        </w:tc>
      </w:tr>
      <w:tr w:rsidR="00C24637" w:rsidRPr="00C24637" w:rsidTr="00C246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24637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0"/>
                  <w:u w:val="single"/>
                </w:rPr>
                <w:t>Return to data page</w:t>
              </w:r>
            </w:hyperlink>
          </w:p>
        </w:tc>
      </w:tr>
    </w:tbl>
    <w:p w:rsidR="00C24637" w:rsidRPr="00C24637" w:rsidRDefault="00C24637" w:rsidP="00C246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463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5"/>
        <w:gridCol w:w="3140"/>
        <w:gridCol w:w="3155"/>
      </w:tblGrid>
      <w:tr w:rsidR="00C24637" w:rsidRPr="00C24637" w:rsidTr="00C24637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top" w:history="1">
              <w:r w:rsidRPr="00C2463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Home</w:t>
              </w:r>
            </w:hyperlink>
          </w:p>
        </w:tc>
        <w:tc>
          <w:tcPr>
            <w:tcW w:w="10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C2463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E-mail me</w:t>
              </w:r>
            </w:hyperlink>
          </w:p>
        </w:tc>
        <w:tc>
          <w:tcPr>
            <w:tcW w:w="1000" w:type="pct"/>
            <w:vAlign w:val="center"/>
            <w:hideMark/>
          </w:tcPr>
          <w:p w:rsidR="00C24637" w:rsidRPr="00C24637" w:rsidRDefault="00C24637" w:rsidP="00C246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gtFrame="_top" w:history="1">
              <w:r w:rsidRPr="00C2463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Wharton Accounting</w:t>
              </w:r>
            </w:hyperlink>
          </w:p>
        </w:tc>
      </w:tr>
    </w:tbl>
    <w:p w:rsidR="00AA5450" w:rsidRDefault="00AA5450"/>
    <w:sectPr w:rsidR="00AA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921AA"/>
    <w:multiLevelType w:val="multilevel"/>
    <w:tmpl w:val="4C6A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614B2C"/>
    <w:multiLevelType w:val="multilevel"/>
    <w:tmpl w:val="1B8C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0E"/>
    <w:rsid w:val="0013740E"/>
    <w:rsid w:val="008E2A97"/>
    <w:rsid w:val="00AA5450"/>
    <w:rsid w:val="00BE09FA"/>
    <w:rsid w:val="00C2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46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46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46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24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ct.wharton.upenn.edu/faculty/bushee/IIvars.html" TargetMode="External"/><Relationship Id="rId13" Type="http://schemas.openxmlformats.org/officeDocument/2006/relationships/hyperlink" Target="http://acct.wharton.upenn.edu/faculty/bushee/IIvars.html" TargetMode="External"/><Relationship Id="rId18" Type="http://schemas.openxmlformats.org/officeDocument/2006/relationships/hyperlink" Target="http://acct.wharton.upenn.edu/faculty/bushee/IIclass.html" TargetMode="External"/><Relationship Id="rId26" Type="http://schemas.openxmlformats.org/officeDocument/2006/relationships/hyperlink" Target="http://acct.wharton.upenn.edu/faculty/bushee/IIclas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cct.wharton.upenn.edu/faculty/bushee/IIclass.html" TargetMode="External"/><Relationship Id="rId7" Type="http://schemas.openxmlformats.org/officeDocument/2006/relationships/hyperlink" Target="http://acct.wharton.upenn.edu/faculty/bushee/IIvars.html" TargetMode="External"/><Relationship Id="rId12" Type="http://schemas.openxmlformats.org/officeDocument/2006/relationships/hyperlink" Target="http://acct.wharton.upenn.edu/faculty/bushee/IIvars.html" TargetMode="External"/><Relationship Id="rId17" Type="http://schemas.openxmlformats.org/officeDocument/2006/relationships/hyperlink" Target="http://acct.wharton.upenn.edu/faculty/bushee/IIclass.html" TargetMode="External"/><Relationship Id="rId25" Type="http://schemas.openxmlformats.org/officeDocument/2006/relationships/hyperlink" Target="http://acct.wharton.upenn.edu/faculty/bushee/IIclass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acct.wharton.upenn.edu/faculty/bushee/IIclass.html" TargetMode="External"/><Relationship Id="rId20" Type="http://schemas.openxmlformats.org/officeDocument/2006/relationships/hyperlink" Target="http://acct.wharton.upenn.edu/faculty/bushee/IIclass.html" TargetMode="External"/><Relationship Id="rId29" Type="http://schemas.openxmlformats.org/officeDocument/2006/relationships/hyperlink" Target="http://brianbushe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cct.wharton.upenn.edu/faculty/bushee/IIvars.html" TargetMode="External"/><Relationship Id="rId11" Type="http://schemas.openxmlformats.org/officeDocument/2006/relationships/hyperlink" Target="http://acct.wharton.upenn.edu/faculty/bushee/IIvars.html" TargetMode="External"/><Relationship Id="rId24" Type="http://schemas.openxmlformats.org/officeDocument/2006/relationships/hyperlink" Target="http://acct.wharton.upenn.edu/faculty/bushee/IIvars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acct.wharton.upenn.edu/faculty/bushee/IIvars.html" TargetMode="External"/><Relationship Id="rId23" Type="http://schemas.openxmlformats.org/officeDocument/2006/relationships/hyperlink" Target="http://acct.wharton.upenn.edu/faculty/bushee/IIclass.html" TargetMode="External"/><Relationship Id="rId28" Type="http://schemas.openxmlformats.org/officeDocument/2006/relationships/hyperlink" Target="http://acct.wharton.upenn.edu/faculty/bushee/IIclass.html" TargetMode="External"/><Relationship Id="rId10" Type="http://schemas.openxmlformats.org/officeDocument/2006/relationships/hyperlink" Target="http://acct.wharton.upenn.edu/faculty/bushee/IIvars.html" TargetMode="External"/><Relationship Id="rId19" Type="http://schemas.openxmlformats.org/officeDocument/2006/relationships/hyperlink" Target="http://acct.wharton.upenn.edu/faculty/bushee/IIclass.html" TargetMode="External"/><Relationship Id="rId31" Type="http://schemas.openxmlformats.org/officeDocument/2006/relationships/hyperlink" Target="http://accounting.wharton.upenn.e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cct.wharton.upenn.edu/faculty/bushee/IIvars.html" TargetMode="External"/><Relationship Id="rId14" Type="http://schemas.openxmlformats.org/officeDocument/2006/relationships/hyperlink" Target="http://acct.wharton.upenn.edu/faculty/bushee/IIvars.html" TargetMode="External"/><Relationship Id="rId22" Type="http://schemas.openxmlformats.org/officeDocument/2006/relationships/hyperlink" Target="http://acct.wharton.upenn.edu/faculty/bushee/IIclass.html" TargetMode="External"/><Relationship Id="rId27" Type="http://schemas.openxmlformats.org/officeDocument/2006/relationships/hyperlink" Target="http://acct.wharton.upenn.edu/faculty/bushee/IIvars.html" TargetMode="External"/><Relationship Id="rId30" Type="http://schemas.openxmlformats.org/officeDocument/2006/relationships/hyperlink" Target="mailto:bushee@wharton.upen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5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WCBA</Company>
  <LinksUpToDate>false</LinksUpToDate>
  <CharactersWithSpaces>9806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Impink,Joost</dc:creator>
  <cp:keywords/>
  <dc:description/>
  <cp:lastModifiedBy>Impink,Joost</cp:lastModifiedBy>
  <cp:revision>3</cp:revision>
  <dcterms:created xsi:type="dcterms:W3CDTF">2015-10-24T21:47:00Z</dcterms:created>
  <dcterms:modified xsi:type="dcterms:W3CDTF">2015-10-26T15:03:00Z</dcterms:modified>
</cp:coreProperties>
</file>