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9DA7" w14:textId="77777777" w:rsidR="00C14B3A" w:rsidRDefault="00C14B3A" w:rsidP="00C14B3A">
      <w:r>
        <w:t>CUESTIONARIO DE ANÁLISIS: PROGRAMA KIT ESPACIOS DE DATOS</w:t>
      </w:r>
    </w:p>
    <w:p w14:paraId="0D27DBB9" w14:textId="77777777" w:rsidR="00C14B3A" w:rsidRDefault="00C14B3A" w:rsidP="00C14B3A"/>
    <w:p w14:paraId="4D2509B2" w14:textId="77777777" w:rsidR="00C14B3A" w:rsidRDefault="00C14B3A" w:rsidP="00C14B3A">
      <w:r>
        <w:t>BLOQUE A: Comprensión del programa</w:t>
      </w:r>
    </w:p>
    <w:p w14:paraId="20F1C210" w14:textId="77777777" w:rsidR="00C14B3A" w:rsidRDefault="00C14B3A" w:rsidP="00C14B3A"/>
    <w:p w14:paraId="75AEB5D4" w14:textId="77777777" w:rsidR="00C14B3A" w:rsidRDefault="00C14B3A" w:rsidP="00C14B3A">
      <w:r>
        <w:t>1. Define qué es un "espacio de datos sectorial" y explica la diferencia entre incorporarse como participante vs como proveedor.</w:t>
      </w:r>
    </w:p>
    <w:p w14:paraId="4A8273EF" w14:textId="77777777" w:rsidR="00C14B3A" w:rsidRDefault="00C14B3A" w:rsidP="00C14B3A"/>
    <w:p w14:paraId="09A683A6" w14:textId="77777777" w:rsidR="00C14B3A" w:rsidRDefault="00C14B3A" w:rsidP="00C14B3A">
      <w:r>
        <w:t>Respuesta:</w:t>
      </w:r>
    </w:p>
    <w:p w14:paraId="54153964" w14:textId="77777777" w:rsidR="00C14B3A" w:rsidRDefault="00C14B3A" w:rsidP="00C14B3A">
      <w:r>
        <w:t>Un espacio de datos sectorial es un ecosistema federado de intercambio de información donde diferentes entidades (empresas, administraciones, organizaciones) comparten datos de forma voluntaria, segura y soberana. A diferencia de una "nube" centralizada donde se almacenan datos, en un espacio de datos la información permanece en origen y se comparte bajo reglas de uso estandarizadas (protocolos, gobernanza y seguridad común), enfocándose en un sector específico (ej. turismo, movilidad, agroalimentario).</w:t>
      </w:r>
    </w:p>
    <w:p w14:paraId="4D47931C" w14:textId="77777777" w:rsidR="00C14B3A" w:rsidRDefault="00C14B3A" w:rsidP="00C14B3A"/>
    <w:p w14:paraId="4DE37495" w14:textId="77777777" w:rsidR="00C14B3A" w:rsidRDefault="00C14B3A" w:rsidP="00C14B3A">
      <w:r>
        <w:t>Diferencia en la incorporación según las bases reguladoras:</w:t>
      </w:r>
    </w:p>
    <w:p w14:paraId="29FC690C" w14:textId="77777777" w:rsidR="00C14B3A" w:rsidRDefault="00C14B3A" w:rsidP="00C14B3A">
      <w:r>
        <w:t>- Incorporación como Participante: La entidad se une al espacio de datos para consumir datos o participar en la gobernanza básica, sin necesariamente comprometerse a una publicación compleja de productos de datos. Es el nivel de entrada estándar para quien quiere beneficiarse del ecosistema.</w:t>
      </w:r>
    </w:p>
    <w:p w14:paraId="5356C0EF" w14:textId="77777777" w:rsidR="00C14B3A" w:rsidRDefault="00C14B3A" w:rsidP="00C14B3A">
      <w:r>
        <w:t xml:space="preserve">- Incorporación como Proveedor (Avanzada): La entidad se incorpora con el rol activo de </w:t>
      </w:r>
      <w:proofErr w:type="spellStart"/>
      <w:r>
        <w:t>disponibilizar</w:t>
      </w:r>
      <w:proofErr w:type="spellEnd"/>
      <w:r>
        <w:t xml:space="preserve"> y publicar productos de datos para terceros. Esto implica mayores requisitos técnicos (preparación de </w:t>
      </w:r>
      <w:proofErr w:type="spellStart"/>
      <w:r>
        <w:t>datasets</w:t>
      </w:r>
      <w:proofErr w:type="spellEnd"/>
      <w:r>
        <w:t>, metadatos, catálogos) y, por tanto, opta a una ayuda económica superior al requerir una implementación técnica más compleja.</w:t>
      </w:r>
    </w:p>
    <w:p w14:paraId="423466EB" w14:textId="77777777" w:rsidR="00C14B3A" w:rsidRDefault="00C14B3A" w:rsidP="00C14B3A"/>
    <w:p w14:paraId="6F5D13E5" w14:textId="77777777" w:rsidR="00C14B3A" w:rsidRDefault="00C14B3A" w:rsidP="00C14B3A">
      <w:r>
        <w:t>2. Identifica las cuantías económicas del programa según tipo de entidad y modalidad de participación.</w:t>
      </w:r>
    </w:p>
    <w:p w14:paraId="60D11FD1" w14:textId="77777777" w:rsidR="00C14B3A" w:rsidRDefault="00C14B3A" w:rsidP="00C14B3A"/>
    <w:p w14:paraId="51BE76DB" w14:textId="77777777" w:rsidR="00C14B3A" w:rsidRDefault="00C14B3A" w:rsidP="00C14B3A">
      <w:r>
        <w:t>Respuesta:</w:t>
      </w:r>
    </w:p>
    <w:p w14:paraId="12E298E9" w14:textId="77777777" w:rsidR="00C14B3A" w:rsidRDefault="00C14B3A" w:rsidP="00C14B3A">
      <w:r>
        <w:t>El programa establece cuantías fijas en función del beneficiario y el rol técnico asumido:</w:t>
      </w:r>
    </w:p>
    <w:p w14:paraId="1A10E4F5" w14:textId="77777777" w:rsidR="00C14B3A" w:rsidRDefault="00C14B3A" w:rsidP="00C14B3A"/>
    <w:p w14:paraId="152C5B54" w14:textId="77777777" w:rsidR="00C14B3A" w:rsidRDefault="00C14B3A" w:rsidP="00C14B3A">
      <w:r>
        <w:lastRenderedPageBreak/>
        <w:t>A) Entidades privadas y públicas (con actividad económica):</w:t>
      </w:r>
    </w:p>
    <w:p w14:paraId="61B87490" w14:textId="77777777" w:rsidR="00C14B3A" w:rsidRDefault="00C14B3A" w:rsidP="00C14B3A">
      <w:r>
        <w:t xml:space="preserve">   - Como Participante (incorporación básica): 15.000 €</w:t>
      </w:r>
    </w:p>
    <w:p w14:paraId="7C5CAA5A" w14:textId="77777777" w:rsidR="00C14B3A" w:rsidRDefault="00C14B3A" w:rsidP="00C14B3A">
      <w:r>
        <w:t xml:space="preserve">   - Como Proveedor (incorporación avanzada): 30.000 €</w:t>
      </w:r>
    </w:p>
    <w:p w14:paraId="0A002A12" w14:textId="77777777" w:rsidR="00C14B3A" w:rsidRDefault="00C14B3A" w:rsidP="00C14B3A"/>
    <w:p w14:paraId="435AB341" w14:textId="77777777" w:rsidR="00C14B3A" w:rsidRDefault="00C14B3A" w:rsidP="00C14B3A">
      <w:r>
        <w:t>B) Administraciones Públicas:</w:t>
      </w:r>
    </w:p>
    <w:p w14:paraId="099B9FBB" w14:textId="77777777" w:rsidR="00C14B3A" w:rsidRDefault="00C14B3A" w:rsidP="00C14B3A">
      <w:r>
        <w:t xml:space="preserve">   - Como Participante (incorporación básica): 25.000 €</w:t>
      </w:r>
    </w:p>
    <w:p w14:paraId="324B779D" w14:textId="77777777" w:rsidR="00C14B3A" w:rsidRDefault="00C14B3A" w:rsidP="00C14B3A">
      <w:r>
        <w:t xml:space="preserve">   - Como Proveedor (incorporación avanzada): 50.000 €</w:t>
      </w:r>
    </w:p>
    <w:p w14:paraId="1438A219" w14:textId="77777777" w:rsidR="00C14B3A" w:rsidRDefault="00C14B3A" w:rsidP="00C14B3A"/>
    <w:p w14:paraId="5BAF4750" w14:textId="77777777" w:rsidR="00C14B3A" w:rsidRDefault="00C14B3A" w:rsidP="00C14B3A">
      <w:r>
        <w:t>3. Explica qué significa que sea un programa de "concurrencia no competitiva" y cuál es el criterio de asignación de las ayudas.</w:t>
      </w:r>
    </w:p>
    <w:p w14:paraId="6E4FA4AC" w14:textId="77777777" w:rsidR="00C14B3A" w:rsidRDefault="00C14B3A" w:rsidP="00C14B3A"/>
    <w:p w14:paraId="006D47CF" w14:textId="77777777" w:rsidR="00C14B3A" w:rsidRDefault="00C14B3A" w:rsidP="00C14B3A">
      <w:r>
        <w:t>Respuesta:</w:t>
      </w:r>
    </w:p>
    <w:p w14:paraId="7B688445" w14:textId="77777777" w:rsidR="00C14B3A" w:rsidRDefault="00C14B3A" w:rsidP="00C14B3A">
      <w:r>
        <w:t xml:space="preserve">"Concurrencia no competitiva" significa que las subvenciones no se otorgan seleccionando los "mejores" proyectos mediante una puntuación técnica comparativa entre todos los solicitantes. </w:t>
      </w:r>
    </w:p>
    <w:p w14:paraId="73A7547C" w14:textId="77777777" w:rsidR="00C14B3A" w:rsidRDefault="00C14B3A" w:rsidP="00C14B3A">
      <w:r>
        <w:t>El criterio de asignación es estrictamente el orden de presentación de las solicitudes (orden de llegada). Si la entidad cumple los requisitos administrativos y técnicos básicos y existen fondos disponibles en ese momento, se le concede la ayuda automáticamente hasta agotar el presupuesto total del programa (60 millones de euros).</w:t>
      </w:r>
    </w:p>
    <w:p w14:paraId="7561035E" w14:textId="77777777" w:rsidR="00C14B3A" w:rsidRDefault="00C14B3A" w:rsidP="00C14B3A"/>
    <w:p w14:paraId="25CB23C3" w14:textId="77777777" w:rsidR="00C14B3A" w:rsidRDefault="00C14B3A" w:rsidP="00C14B3A">
      <w:r>
        <w:t>BLOQUE B: Análisis técnico</w:t>
      </w:r>
    </w:p>
    <w:p w14:paraId="7D27B7FE" w14:textId="77777777" w:rsidR="00C14B3A" w:rsidRDefault="00C14B3A" w:rsidP="00C14B3A"/>
    <w:p w14:paraId="77CA8867" w14:textId="77777777" w:rsidR="00C14B3A" w:rsidRDefault="00C14B3A" w:rsidP="00C14B3A">
      <w:r>
        <w:t>4. ¿Qué requisitos técnicos implícitos necesita una empresa para incorporarse a un espacio de datos? (piensa en: infraestructura, competencias del personal, cumplimiento normativo...)</w:t>
      </w:r>
    </w:p>
    <w:p w14:paraId="2FDFBE72" w14:textId="77777777" w:rsidR="00C14B3A" w:rsidRDefault="00C14B3A" w:rsidP="00C14B3A"/>
    <w:p w14:paraId="3599EBF7" w14:textId="77777777" w:rsidR="00C14B3A" w:rsidRDefault="00C14B3A" w:rsidP="00C14B3A">
      <w:r>
        <w:t>Respuesta:</w:t>
      </w:r>
    </w:p>
    <w:p w14:paraId="6CFE2052" w14:textId="77777777" w:rsidR="00C14B3A" w:rsidRDefault="00C14B3A" w:rsidP="00C14B3A">
      <w:r>
        <w:t>Para una incorporación real, la empresa necesita:</w:t>
      </w:r>
    </w:p>
    <w:p w14:paraId="6C2ACF77" w14:textId="77777777" w:rsidR="00C14B3A" w:rsidRDefault="00C14B3A" w:rsidP="00C14B3A">
      <w:r>
        <w:lastRenderedPageBreak/>
        <w:t xml:space="preserve">- Infraestructura: Capacidad de despliegue de un "Conector" (ej. Eclipse </w:t>
      </w:r>
      <w:proofErr w:type="spellStart"/>
      <w:r>
        <w:t>Dataspace</w:t>
      </w:r>
      <w:proofErr w:type="spellEnd"/>
      <w:r>
        <w:t xml:space="preserve"> </w:t>
      </w:r>
      <w:proofErr w:type="spellStart"/>
      <w:r>
        <w:t>Components</w:t>
      </w:r>
      <w:proofErr w:type="spellEnd"/>
      <w:r>
        <w:t>, FIWARE) que actúe como puerta de enlace. Esto suele requerir entornos contenerizados (Docker/</w:t>
      </w:r>
      <w:proofErr w:type="spellStart"/>
      <w:r>
        <w:t>Kubernetes</w:t>
      </w:r>
      <w:proofErr w:type="spellEnd"/>
      <w:r>
        <w:t>) en nube o servidores propios.</w:t>
      </w:r>
    </w:p>
    <w:p w14:paraId="4165F4CD" w14:textId="77777777" w:rsidR="00C14B3A" w:rsidRDefault="00C14B3A" w:rsidP="00C14B3A">
      <w:r>
        <w:t>- Identidad Soberana: Disponer de certificados electrónicos cualificados (</w:t>
      </w:r>
      <w:proofErr w:type="spellStart"/>
      <w:r>
        <w:t>eIDAS</w:t>
      </w:r>
      <w:proofErr w:type="spellEnd"/>
      <w:r>
        <w:t>) para autenticarse en el espacio de datos.</w:t>
      </w:r>
    </w:p>
    <w:p w14:paraId="7F6D3DF3" w14:textId="77777777" w:rsidR="00C14B3A" w:rsidRDefault="00C14B3A" w:rsidP="00C14B3A">
      <w:r>
        <w:t xml:space="preserve">- Semántica y Datos: Tener los datos internos digitalizados y estructurados. No basta con tener </w:t>
      </w:r>
      <w:proofErr w:type="spellStart"/>
      <w:r>
        <w:t>PDFs</w:t>
      </w:r>
      <w:proofErr w:type="spellEnd"/>
      <w:r>
        <w:t>; se requieren bases de datos accesibles vía API y capacidad para mapearlos a los vocabularios estándar del sector (ontologías).</w:t>
      </w:r>
    </w:p>
    <w:p w14:paraId="1CEE9F8C" w14:textId="77777777" w:rsidR="00C14B3A" w:rsidRDefault="00C14B3A" w:rsidP="00C14B3A">
      <w:r>
        <w:t xml:space="preserve">- Competencias: Personal técnico capaz de gestionar </w:t>
      </w:r>
      <w:proofErr w:type="spellStart"/>
      <w:r>
        <w:t>APIs</w:t>
      </w:r>
      <w:proofErr w:type="spellEnd"/>
      <w:r>
        <w:t xml:space="preserve"> REST, autenticación OAUTH/OIDC y entender conceptos de gobernanza de datos.</w:t>
      </w:r>
    </w:p>
    <w:p w14:paraId="096B728A" w14:textId="77777777" w:rsidR="00C14B3A" w:rsidRDefault="00C14B3A" w:rsidP="00C14B3A">
      <w:r>
        <w:t xml:space="preserve">- Normativa: Cumplimiento estricto de GDPR y, dependiendo del sector, de la Data </w:t>
      </w:r>
      <w:proofErr w:type="spellStart"/>
      <w:r>
        <w:t>Governance</w:t>
      </w:r>
      <w:proofErr w:type="spellEnd"/>
      <w:r>
        <w:t xml:space="preserve"> </w:t>
      </w:r>
      <w:proofErr w:type="spellStart"/>
      <w:r>
        <w:t>Act</w:t>
      </w:r>
      <w:proofErr w:type="spellEnd"/>
      <w:r>
        <w:t xml:space="preserve"> europea.</w:t>
      </w:r>
    </w:p>
    <w:p w14:paraId="7A15BFD7" w14:textId="77777777" w:rsidR="00C14B3A" w:rsidRDefault="00C14B3A" w:rsidP="00C14B3A"/>
    <w:p w14:paraId="2F6DA5A6" w14:textId="77777777" w:rsidR="00C14B3A" w:rsidRDefault="00C14B3A" w:rsidP="00C14B3A">
      <w:r>
        <w:t>5. ¿En qué conceptos se puede gastar la ayuda? ¿Es suficiente la cuantía máxima (30.000€) para cubrir una incorporación real? Justifica tu respuesta con un desglose de costes estimado.</w:t>
      </w:r>
    </w:p>
    <w:p w14:paraId="1C78A59A" w14:textId="77777777" w:rsidR="00C14B3A" w:rsidRDefault="00C14B3A" w:rsidP="00C14B3A"/>
    <w:p w14:paraId="5B75C5AF" w14:textId="77777777" w:rsidR="00C14B3A" w:rsidRDefault="00C14B3A" w:rsidP="00C14B3A">
      <w:r>
        <w:t>Respuesta:</w:t>
      </w:r>
    </w:p>
    <w:p w14:paraId="502DA204" w14:textId="77777777" w:rsidR="00C14B3A" w:rsidRDefault="00C14B3A" w:rsidP="00C14B3A">
      <w:r>
        <w:t>La ayuda cubre costes de implementación técnica, consultoría especializada y adquisición de activos inmateriales (licencias/software).</w:t>
      </w:r>
    </w:p>
    <w:p w14:paraId="01AD4C52" w14:textId="77777777" w:rsidR="00C14B3A" w:rsidRDefault="00C14B3A" w:rsidP="00C14B3A"/>
    <w:p w14:paraId="7055A999" w14:textId="77777777" w:rsidR="00C14B3A" w:rsidRDefault="00C14B3A" w:rsidP="00C14B3A">
      <w:r>
        <w:t>Análisis de suficiencia (30.000€ para Proveedor):</w:t>
      </w:r>
    </w:p>
    <w:p w14:paraId="21583B30" w14:textId="77777777" w:rsidR="00C14B3A" w:rsidRDefault="00C14B3A" w:rsidP="00C14B3A">
      <w:r>
        <w:t>La cuantía es AJUSTADA pero SUFICIENTE para una PYME que utilice soluciones estándar o "SaaS", pero insuficiente para un desarrollo a medida complejo.</w:t>
      </w:r>
    </w:p>
    <w:p w14:paraId="50E35A82" w14:textId="77777777" w:rsidR="00C14B3A" w:rsidRDefault="00C14B3A" w:rsidP="00C14B3A"/>
    <w:p w14:paraId="3D13FE4D" w14:textId="77777777" w:rsidR="00C14B3A" w:rsidRDefault="00C14B3A" w:rsidP="00C14B3A">
      <w:r>
        <w:t>Desglose estimado para una incorporación viable:</w:t>
      </w:r>
    </w:p>
    <w:p w14:paraId="430F97FB" w14:textId="77777777" w:rsidR="00C14B3A" w:rsidRDefault="00C14B3A" w:rsidP="00C14B3A">
      <w:r>
        <w:t>1. Consultoría legal y gobernanza (definir qué compartir y políticas de uso): 5.000 €</w:t>
      </w:r>
    </w:p>
    <w:p w14:paraId="48464104" w14:textId="77777777" w:rsidR="00C14B3A" w:rsidRDefault="00C14B3A" w:rsidP="00C14B3A">
      <w:r>
        <w:t>2. Implantación del Conector (Instalación, configuración de identidad, seguridad): 12.000 €</w:t>
      </w:r>
    </w:p>
    <w:p w14:paraId="4A38FF35" w14:textId="77777777" w:rsidR="00C14B3A" w:rsidRDefault="00C14B3A" w:rsidP="00C14B3A">
      <w:r>
        <w:t>3. Adaptación de datos internos (ETL, mapeo a ontología del espacio de datos): 10.000 €</w:t>
      </w:r>
    </w:p>
    <w:p w14:paraId="07A37C68" w14:textId="77777777" w:rsidR="00C14B3A" w:rsidRDefault="00C14B3A" w:rsidP="00C14B3A">
      <w:r>
        <w:t>4. Formación y pruebas de interoperabilidad: 3.000 €</w:t>
      </w:r>
    </w:p>
    <w:p w14:paraId="25E867B1" w14:textId="77777777" w:rsidR="00C14B3A" w:rsidRDefault="00C14B3A" w:rsidP="00C14B3A">
      <w:r>
        <w:lastRenderedPageBreak/>
        <w:t>TOTAL: 30.000 €</w:t>
      </w:r>
    </w:p>
    <w:p w14:paraId="5FDEB6D5" w14:textId="77777777" w:rsidR="00C14B3A" w:rsidRDefault="00C14B3A" w:rsidP="00C14B3A"/>
    <w:p w14:paraId="7E18F8CB" w14:textId="77777777" w:rsidR="00C14B3A" w:rsidRDefault="00C14B3A" w:rsidP="00C14B3A">
      <w:r>
        <w:t>Si la empresa parte de cero en digitalización ("madurez baja"), el coste de limpieza de datos superaría ampliamente esta cifra.</w:t>
      </w:r>
    </w:p>
    <w:p w14:paraId="1F0D87C6" w14:textId="77777777" w:rsidR="00C14B3A" w:rsidRDefault="00C14B3A" w:rsidP="00C14B3A"/>
    <w:p w14:paraId="651E6C80" w14:textId="77777777" w:rsidR="00C14B3A" w:rsidRDefault="00C14B3A" w:rsidP="00C14B3A">
      <w:r>
        <w:t>6. Desde el punto de vista de la interoperabilidad y arquitectura de datos, ¿qué desafíos técnicos prevés para las empresas participantes?</w:t>
      </w:r>
    </w:p>
    <w:p w14:paraId="5B3565D5" w14:textId="77777777" w:rsidR="00C14B3A" w:rsidRDefault="00C14B3A" w:rsidP="00C14B3A"/>
    <w:p w14:paraId="2A907578" w14:textId="77777777" w:rsidR="00C14B3A" w:rsidRDefault="00C14B3A" w:rsidP="00C14B3A">
      <w:r>
        <w:t>Respuesta:</w:t>
      </w:r>
    </w:p>
    <w:p w14:paraId="02F75550" w14:textId="77777777" w:rsidR="00C14B3A" w:rsidRDefault="00C14B3A" w:rsidP="00C14B3A">
      <w:r>
        <w:t>- Heterogeneidad Semántica: El mayor desafío. Que el campo "</w:t>
      </w:r>
      <w:proofErr w:type="spellStart"/>
      <w:r>
        <w:t>fecha_entrega</w:t>
      </w:r>
      <w:proofErr w:type="spellEnd"/>
      <w:r>
        <w:t>" de la Empresa A signifique lo mismo que "</w:t>
      </w:r>
      <w:proofErr w:type="spellStart"/>
      <w:r>
        <w:t>delivery_date</w:t>
      </w:r>
      <w:proofErr w:type="spellEnd"/>
      <w:r>
        <w:t>" de la Empresa B. Alinear los datos internos con los vocabularios comunes del espacio es costoso.</w:t>
      </w:r>
    </w:p>
    <w:p w14:paraId="659093EF" w14:textId="77777777" w:rsidR="00C14B3A" w:rsidRDefault="00C14B3A" w:rsidP="00C14B3A">
      <w:r>
        <w:t>- Gestión de la Confianza (Trust): Configurar correctamente las políticas de acceso (ej. "solo compartir este dato con empresas certificadas en ISO 27001"). Traducir reglas de negocio a código ejecutable por el conector es complejo.</w:t>
      </w:r>
    </w:p>
    <w:p w14:paraId="768828AA" w14:textId="77777777" w:rsidR="00C14B3A" w:rsidRDefault="00C14B3A" w:rsidP="00C14B3A">
      <w:r>
        <w:t xml:space="preserve">- Mantenimiento del Conector: Los estándares (IDS, Gaia-X) están en evolución constante. Mantener el software actualizado para no perder la conexión con el espacio será un reto operativo </w:t>
      </w:r>
      <w:proofErr w:type="spellStart"/>
      <w:r>
        <w:t>post-subvención</w:t>
      </w:r>
      <w:proofErr w:type="spellEnd"/>
      <w:r>
        <w:t>.</w:t>
      </w:r>
    </w:p>
    <w:p w14:paraId="608D07BA" w14:textId="77777777" w:rsidR="00C14B3A" w:rsidRDefault="00C14B3A" w:rsidP="00C14B3A"/>
    <w:p w14:paraId="1D6E6215" w14:textId="77777777" w:rsidR="00C14B3A" w:rsidRDefault="00C14B3A" w:rsidP="00C14B3A">
      <w:r>
        <w:t>BLOQUE C: Evaluación crítica</w:t>
      </w:r>
    </w:p>
    <w:p w14:paraId="2EB58E9B" w14:textId="77777777" w:rsidR="00C14B3A" w:rsidRDefault="00C14B3A" w:rsidP="00C14B3A"/>
    <w:p w14:paraId="062C9506" w14:textId="77777777" w:rsidR="00C14B3A" w:rsidRDefault="00C14B3A" w:rsidP="00C14B3A">
      <w:r>
        <w:t>7. Accesibilidad real: ¿Qué tipo de empresas crees que podrán acceder realmente a este programa? ¿Beneficia a las PYMES pequeñas o solo a las que ya tienen cierto nivel de madurez digital?</w:t>
      </w:r>
    </w:p>
    <w:p w14:paraId="775DA9F2" w14:textId="77777777" w:rsidR="00C14B3A" w:rsidRDefault="00C14B3A" w:rsidP="00C14B3A"/>
    <w:p w14:paraId="5F4D8D8B" w14:textId="77777777" w:rsidR="00C14B3A" w:rsidRDefault="00C14B3A" w:rsidP="00C14B3A">
      <w:r>
        <w:t>Respuesta:</w:t>
      </w:r>
    </w:p>
    <w:p w14:paraId="3D3BE53D" w14:textId="77777777" w:rsidR="00C14B3A" w:rsidRDefault="00C14B3A" w:rsidP="00C14B3A">
      <w:r>
        <w:t>Aunque teóricamente abierto a PYMES, la barrera de entrada técnica favorece a empresas medianas ("</w:t>
      </w:r>
      <w:proofErr w:type="spellStart"/>
      <w:r>
        <w:t>Mid-caps</w:t>
      </w:r>
      <w:proofErr w:type="spellEnd"/>
      <w:r>
        <w:t>") o PYMES tecnológicas (startups de datos/IA). Una PYME tradicional (ej. una pequeña cooperativa agrícola o un hotel familiar) difícilmente podrá aprovechar la ayuda directamente sin un intermediario técnico muy capacitado, ya que el concepto de "desplegar un conector IDS" escapa a sus competencias habituales. Beneficia principalmente a las que ya tienen una estrategia de datos (madurez media-alta).</w:t>
      </w:r>
    </w:p>
    <w:p w14:paraId="3DD62389" w14:textId="77777777" w:rsidR="00C14B3A" w:rsidRDefault="00C14B3A" w:rsidP="00C14B3A"/>
    <w:p w14:paraId="5B1E1875" w14:textId="77777777" w:rsidR="00C14B3A" w:rsidRDefault="00C14B3A" w:rsidP="00C14B3A">
      <w:r>
        <w:t>8. Modelo de asignación: El programa funciona por orden de llegada hasta agotar presupuesto. Analiza ventajas y desventajas.</w:t>
      </w:r>
    </w:p>
    <w:p w14:paraId="2C9D2A9B" w14:textId="77777777" w:rsidR="00C14B3A" w:rsidRDefault="00C14B3A" w:rsidP="00C14B3A"/>
    <w:p w14:paraId="24783794" w14:textId="77777777" w:rsidR="00C14B3A" w:rsidRDefault="00C14B3A" w:rsidP="00C14B3A">
      <w:r>
        <w:t>Respuesta:</w:t>
      </w:r>
    </w:p>
    <w:p w14:paraId="32F8F63E" w14:textId="77777777" w:rsidR="00C14B3A" w:rsidRDefault="00C14B3A" w:rsidP="00C14B3A">
      <w:r>
        <w:t>- Ventajas: Agilidad administrativa y rapidez en la inyección de fondos. Reduce la incertidumbre para el solicitante (si llegas y cumples, cobras).</w:t>
      </w:r>
    </w:p>
    <w:p w14:paraId="140B7B52" w14:textId="77777777" w:rsidR="00C14B3A" w:rsidRDefault="00C14B3A" w:rsidP="00C14B3A">
      <w:r>
        <w:t>- Desventajas: No premia la calidad ni el impacto estratégico del caso de uso. Puede agotarse el fondo con proyectos "rápidos de justificar" (consultoras tecnológicas captando ayudas para sus clientes) en lugar de proyectos con alto valor sectorial que requieren más tiempo de preparación.</w:t>
      </w:r>
    </w:p>
    <w:p w14:paraId="1786C79E" w14:textId="77777777" w:rsidR="00C14B3A" w:rsidRDefault="00C14B3A" w:rsidP="00C14B3A"/>
    <w:p w14:paraId="28A4AF2C" w14:textId="77777777" w:rsidR="00C14B3A" w:rsidRDefault="00C14B3A" w:rsidP="00C14B3A">
      <w:r>
        <w:t>9. Sostenibilidad: ¿Qué ocurre cuando se acabe el presupuesto de 60M€? ¿Es un programa sostenible a largo plazo o una medida puntual?</w:t>
      </w:r>
    </w:p>
    <w:p w14:paraId="50E0FC5B" w14:textId="77777777" w:rsidR="00C14B3A" w:rsidRDefault="00C14B3A" w:rsidP="00C14B3A"/>
    <w:p w14:paraId="623E12F0" w14:textId="77777777" w:rsidR="00C14B3A" w:rsidRDefault="00C14B3A" w:rsidP="00C14B3A">
      <w:r>
        <w:t>Respuesta:</w:t>
      </w:r>
    </w:p>
    <w:p w14:paraId="02695FE7" w14:textId="77777777" w:rsidR="00C14B3A" w:rsidRDefault="00C14B3A" w:rsidP="00C14B3A">
      <w:r>
        <w:t>Es una medida de "impulso inicial" (CAPEX). El riesgo de sostenibilidad es alto (problema del "valle de la muerte"). Si tras la implementación técnica (pagada por el Kit) la empresa no percibe un retorno económico claro por compartir o consumir datos, dejará de mantener el conector (OPEX) y se desconectará. La sostenibilidad depende de que surjan modelos de negocio reales dentro del espacio de datos, no de la subvención en sí.</w:t>
      </w:r>
    </w:p>
    <w:p w14:paraId="1F90C4D0" w14:textId="77777777" w:rsidR="00C14B3A" w:rsidRDefault="00C14B3A" w:rsidP="00C14B3A"/>
    <w:p w14:paraId="0FDB1345" w14:textId="77777777" w:rsidR="00C14B3A" w:rsidRDefault="00C14B3A" w:rsidP="00C14B3A">
      <w:r>
        <w:t>Tu valoración final:</w:t>
      </w:r>
    </w:p>
    <w:p w14:paraId="627EEEEB" w14:textId="77777777" w:rsidR="00C14B3A" w:rsidRDefault="00C14B3A" w:rsidP="00C14B3A"/>
    <w:p w14:paraId="3AA097B2" w14:textId="77777777" w:rsidR="00C14B3A" w:rsidRDefault="00C14B3A" w:rsidP="00C14B3A">
      <w:r>
        <w:t>Puntuación: 7/10</w:t>
      </w:r>
    </w:p>
    <w:p w14:paraId="3DE857D6" w14:textId="77777777" w:rsidR="00C14B3A" w:rsidRDefault="00C14B3A" w:rsidP="00C14B3A"/>
    <w:p w14:paraId="157E9439" w14:textId="77777777" w:rsidR="00C14B3A" w:rsidRDefault="00C14B3A" w:rsidP="00C14B3A">
      <w:r>
        <w:t>Puntos fuertes:</w:t>
      </w:r>
    </w:p>
    <w:p w14:paraId="3408FC44" w14:textId="77777777" w:rsidR="00C14B3A" w:rsidRDefault="00C14B3A" w:rsidP="00C14B3A">
      <w:r>
        <w:t>1. Fomenta la soberanía del dato, reduciendo la dependencia de grandes plataformas no europeas.</w:t>
      </w:r>
    </w:p>
    <w:p w14:paraId="57C280F6" w14:textId="77777777" w:rsidR="00C14B3A" w:rsidRDefault="00C14B3A" w:rsidP="00C14B3A">
      <w:r>
        <w:t>2. Cuantías (15k-30k) bien dimensionadas para proyectos piloto o "</w:t>
      </w:r>
      <w:proofErr w:type="spellStart"/>
      <w:r>
        <w:t>MVPs</w:t>
      </w:r>
      <w:proofErr w:type="spellEnd"/>
      <w:r>
        <w:t>" de conexión.</w:t>
      </w:r>
    </w:p>
    <w:p w14:paraId="5BDA496A" w14:textId="77777777" w:rsidR="00C14B3A" w:rsidRDefault="00C14B3A" w:rsidP="00C14B3A">
      <w:r>
        <w:t>3. Impulsa la estandarización técnica necesaria para la economía de la IA.</w:t>
      </w:r>
    </w:p>
    <w:p w14:paraId="603F3E7F" w14:textId="77777777" w:rsidR="00C14B3A" w:rsidRDefault="00C14B3A" w:rsidP="00C14B3A"/>
    <w:p w14:paraId="754D89EA" w14:textId="77777777" w:rsidR="00C14B3A" w:rsidRDefault="00C14B3A" w:rsidP="00C14B3A">
      <w:r>
        <w:t>Puntos débiles:</w:t>
      </w:r>
    </w:p>
    <w:p w14:paraId="3AB0D8E8" w14:textId="77777777" w:rsidR="00C14B3A" w:rsidRDefault="00C14B3A" w:rsidP="00C14B3A">
      <w:r>
        <w:t>1. Alta complejidad técnica para el tejido empresarial medio español (microempresas).</w:t>
      </w:r>
    </w:p>
    <w:p w14:paraId="2D7E22B6" w14:textId="77777777" w:rsidR="00C14B3A" w:rsidRDefault="00C14B3A" w:rsidP="00C14B3A">
      <w:r>
        <w:t>2. Riesgo de crear "infraestructura vacía" (tuberías sin datos fluyendo) si no hay incentivos de negocio claros.</w:t>
      </w:r>
    </w:p>
    <w:p w14:paraId="5B065F35" w14:textId="77777777" w:rsidR="00C14B3A" w:rsidRDefault="00C14B3A" w:rsidP="00C14B3A">
      <w:r>
        <w:t>3. El modelo de orden de llegada puede saturar el programa con actores puramente tecnológicos y no industriales.</w:t>
      </w:r>
    </w:p>
    <w:p w14:paraId="1E7F4BD9" w14:textId="77777777" w:rsidR="00C14B3A" w:rsidRDefault="00C14B3A" w:rsidP="00C14B3A"/>
    <w:p w14:paraId="148D8446" w14:textId="77777777" w:rsidR="00C14B3A" w:rsidRDefault="00C14B3A" w:rsidP="00C14B3A">
      <w:r>
        <w:t>¿Crees que el instituto debería unirse al programa?</w:t>
      </w:r>
    </w:p>
    <w:p w14:paraId="5D526599" w14:textId="14182D00" w:rsidR="00883D0E" w:rsidRDefault="00C14B3A" w:rsidP="00C14B3A">
      <w:r>
        <w:t>Si el instituto es una entidad generadora de conocimiento (investigación, estudios) o gestiona datos administrativos de valor público, SÍ debería unirse, preferiblemente en la modalidad de Proveedor (30k/50k) para liderar con el ejemplo en la apertura de datos. Si su rol es puramente burocrático y sin capacidad técnica interna, el esfuerzo de gestión podría superar el beneficio.</w:t>
      </w:r>
    </w:p>
    <w:sectPr w:rsidR="00883D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AEF"/>
    <w:multiLevelType w:val="multilevel"/>
    <w:tmpl w:val="DD3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85E08"/>
    <w:multiLevelType w:val="multilevel"/>
    <w:tmpl w:val="4FC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32D4A"/>
    <w:multiLevelType w:val="multilevel"/>
    <w:tmpl w:val="0BE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06D6D"/>
    <w:multiLevelType w:val="hybridMultilevel"/>
    <w:tmpl w:val="7C4C0AEE"/>
    <w:lvl w:ilvl="0" w:tplc="9A72829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7551388">
    <w:abstractNumId w:val="2"/>
  </w:num>
  <w:num w:numId="2" w16cid:durableId="155732666">
    <w:abstractNumId w:val="0"/>
  </w:num>
  <w:num w:numId="3" w16cid:durableId="426006115">
    <w:abstractNumId w:val="3"/>
  </w:num>
  <w:num w:numId="4" w16cid:durableId="1251701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0E"/>
    <w:rsid w:val="00103C63"/>
    <w:rsid w:val="0041420F"/>
    <w:rsid w:val="005A364A"/>
    <w:rsid w:val="00883D0E"/>
    <w:rsid w:val="00C14B3A"/>
    <w:rsid w:val="00F24C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421C"/>
  <w15:chartTrackingRefBased/>
  <w15:docId w15:val="{22DBFFFF-D8AC-43A1-974A-9228D367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3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3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3D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3D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3D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3D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3D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3D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3D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D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3D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3D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3D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3D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3D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3D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3D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3D0E"/>
    <w:rPr>
      <w:rFonts w:eastAsiaTheme="majorEastAsia" w:cstheme="majorBidi"/>
      <w:color w:val="272727" w:themeColor="text1" w:themeTint="D8"/>
    </w:rPr>
  </w:style>
  <w:style w:type="paragraph" w:styleId="Ttulo">
    <w:name w:val="Title"/>
    <w:basedOn w:val="Normal"/>
    <w:next w:val="Normal"/>
    <w:link w:val="TtuloCar"/>
    <w:uiPriority w:val="10"/>
    <w:qFormat/>
    <w:rsid w:val="0088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3D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3D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3D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3D0E"/>
    <w:pPr>
      <w:spacing w:before="160"/>
      <w:jc w:val="center"/>
    </w:pPr>
    <w:rPr>
      <w:i/>
      <w:iCs/>
      <w:color w:val="404040" w:themeColor="text1" w:themeTint="BF"/>
    </w:rPr>
  </w:style>
  <w:style w:type="character" w:customStyle="1" w:styleId="CitaCar">
    <w:name w:val="Cita Car"/>
    <w:basedOn w:val="Fuentedeprrafopredeter"/>
    <w:link w:val="Cita"/>
    <w:uiPriority w:val="29"/>
    <w:rsid w:val="00883D0E"/>
    <w:rPr>
      <w:i/>
      <w:iCs/>
      <w:color w:val="404040" w:themeColor="text1" w:themeTint="BF"/>
    </w:rPr>
  </w:style>
  <w:style w:type="paragraph" w:styleId="Prrafodelista">
    <w:name w:val="List Paragraph"/>
    <w:basedOn w:val="Normal"/>
    <w:uiPriority w:val="34"/>
    <w:qFormat/>
    <w:rsid w:val="00883D0E"/>
    <w:pPr>
      <w:ind w:left="720"/>
      <w:contextualSpacing/>
    </w:pPr>
  </w:style>
  <w:style w:type="character" w:styleId="nfasisintenso">
    <w:name w:val="Intense Emphasis"/>
    <w:basedOn w:val="Fuentedeprrafopredeter"/>
    <w:uiPriority w:val="21"/>
    <w:qFormat/>
    <w:rsid w:val="00883D0E"/>
    <w:rPr>
      <w:i/>
      <w:iCs/>
      <w:color w:val="2F5496" w:themeColor="accent1" w:themeShade="BF"/>
    </w:rPr>
  </w:style>
  <w:style w:type="paragraph" w:styleId="Citadestacada">
    <w:name w:val="Intense Quote"/>
    <w:basedOn w:val="Normal"/>
    <w:next w:val="Normal"/>
    <w:link w:val="CitadestacadaCar"/>
    <w:uiPriority w:val="30"/>
    <w:qFormat/>
    <w:rsid w:val="00883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3D0E"/>
    <w:rPr>
      <w:i/>
      <w:iCs/>
      <w:color w:val="2F5496" w:themeColor="accent1" w:themeShade="BF"/>
    </w:rPr>
  </w:style>
  <w:style w:type="character" w:styleId="Referenciaintensa">
    <w:name w:val="Intense Reference"/>
    <w:basedOn w:val="Fuentedeprrafopredeter"/>
    <w:uiPriority w:val="32"/>
    <w:qFormat/>
    <w:rsid w:val="00883D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1316</Words>
  <Characters>7240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 Martin</dc:creator>
  <cp:keywords/>
  <dc:description/>
  <cp:lastModifiedBy>Jorge Herrera Martin</cp:lastModifiedBy>
  <cp:revision>2</cp:revision>
  <dcterms:created xsi:type="dcterms:W3CDTF">2026-02-10T18:11:00Z</dcterms:created>
  <dcterms:modified xsi:type="dcterms:W3CDTF">2026-02-10T18:40:00Z</dcterms:modified>
</cp:coreProperties>
</file>