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2AA8" w14:textId="77777777" w:rsidR="00FC5519" w:rsidRDefault="00000000">
      <w:pPr>
        <w:jc w:val="center"/>
      </w:pPr>
      <w:r>
        <w:rPr>
          <w:b/>
          <w:sz w:val="40"/>
        </w:rPr>
        <w:t>Advisory Memorandum</w:t>
      </w:r>
    </w:p>
    <w:p w14:paraId="39145BFA" w14:textId="77777777" w:rsidR="00FC5519" w:rsidRDefault="00000000">
      <w:pPr>
        <w:jc w:val="center"/>
      </w:pPr>
      <w:r>
        <w:rPr>
          <w:b/>
          <w:sz w:val="28"/>
        </w:rPr>
        <w:t>Nigerian Corporate Tax Exposure for Resident and Non-Resident Entities</w:t>
      </w:r>
    </w:p>
    <w:p w14:paraId="5D1963B4" w14:textId="77777777" w:rsidR="00FC5519" w:rsidRDefault="00FC5519"/>
    <w:p w14:paraId="3212E115" w14:textId="77777777" w:rsidR="00FC5519" w:rsidRDefault="00000000">
      <w:pPr>
        <w:spacing w:before="280"/>
      </w:pPr>
      <w:r>
        <w:rPr>
          <w:b/>
          <w:sz w:val="24"/>
        </w:rPr>
        <w:t>Executive Summary</w:t>
      </w:r>
    </w:p>
    <w:p w14:paraId="1951C3AA" w14:textId="55EB3611" w:rsidR="00FC5519" w:rsidRDefault="00000000">
      <w:pPr>
        <w:spacing w:after="160"/>
      </w:pPr>
      <w:r>
        <w:t xml:space="preserve">Nigeria operates a broad corporate tax framework that </w:t>
      </w:r>
      <w:r w:rsidR="005E7DC6">
        <w:t>applies to both resident and non-resident entities engaging in</w:t>
      </w:r>
      <w:r>
        <w:t xml:space="preserve"> its market. Tax exposure is no longer dependent on physical presence; any sustained economic interaction with Nigeria may trigger tax obligations, particularly under Significant Economic Presence rules applicable to digital and cross-border business models.</w:t>
      </w:r>
    </w:p>
    <w:p w14:paraId="70CC0CD9" w14:textId="77777777" w:rsidR="00FC5519" w:rsidRDefault="00000000">
      <w:pPr>
        <w:spacing w:before="280"/>
      </w:pPr>
      <w:r>
        <w:rPr>
          <w:b/>
          <w:sz w:val="24"/>
        </w:rPr>
        <w:t>Objective</w:t>
      </w:r>
    </w:p>
    <w:p w14:paraId="5F15D498" w14:textId="77777777" w:rsidR="00FC5519" w:rsidRDefault="00000000">
      <w:pPr>
        <w:spacing w:after="160"/>
      </w:pPr>
      <w:r>
        <w:t>This advisory clarifies how Nigeria asserts taxing rights over local and foreign business activities and outlines the practical implications for structuring, compliance, and risk management.</w:t>
      </w:r>
    </w:p>
    <w:p w14:paraId="6389BD7C" w14:textId="77777777" w:rsidR="00FC5519" w:rsidRDefault="00000000">
      <w:pPr>
        <w:spacing w:before="280"/>
      </w:pPr>
      <w:r>
        <w:rPr>
          <w:b/>
          <w:sz w:val="24"/>
        </w:rPr>
        <w:t>Regulatory Position</w:t>
      </w:r>
    </w:p>
    <w:p w14:paraId="363717F6" w14:textId="70C6B2F4" w:rsidR="00FC5519" w:rsidRDefault="00000000">
      <w:pPr>
        <w:spacing w:after="160"/>
      </w:pPr>
      <w:r>
        <w:t xml:space="preserve">Resident companies are subject to tax on worldwide income, while non-resident entities are taxed on Nigeria-source income. Foreign entities may become taxable </w:t>
      </w:r>
      <w:r w:rsidR="005E7DC6">
        <w:t>when they establish a Significant Economic Presence, including through revenue generated in</w:t>
      </w:r>
      <w:r>
        <w:t xml:space="preserve"> Nigeria, digital targeting of Nigerian users, or the provision of technical, professional, or consultancy services to Nigerian clients.</w:t>
      </w:r>
    </w:p>
    <w:p w14:paraId="7A9F1101" w14:textId="77777777" w:rsidR="00FC5519" w:rsidRDefault="00000000">
      <w:pPr>
        <w:spacing w:before="280"/>
      </w:pPr>
      <w:r>
        <w:rPr>
          <w:b/>
          <w:sz w:val="24"/>
        </w:rPr>
        <w:t>Practical Interpretation</w:t>
      </w:r>
    </w:p>
    <w:p w14:paraId="435C4EFF" w14:textId="77777777" w:rsidR="00FC5519" w:rsidRDefault="00000000">
      <w:pPr>
        <w:spacing w:after="160"/>
      </w:pPr>
      <w:r>
        <w:t>Regulatory enforcement reflects a clear preference for economic substance over legal form. Offshore structures that lack operational separation, clear revenue attribution, or credible compliance positioning are increasingly vulnerable to scrutiny. Digital and service-based models are the primary focus of enforcement expansion.</w:t>
      </w:r>
    </w:p>
    <w:p w14:paraId="474F5B63" w14:textId="77777777" w:rsidR="00FC5519" w:rsidRDefault="00000000">
      <w:pPr>
        <w:spacing w:before="280"/>
      </w:pPr>
      <w:r>
        <w:rPr>
          <w:b/>
          <w:sz w:val="24"/>
        </w:rPr>
        <w:t>Risk Considerations</w:t>
      </w:r>
    </w:p>
    <w:p w14:paraId="4A71BB22" w14:textId="77777777" w:rsidR="00FC5519" w:rsidRDefault="00000000">
      <w:pPr>
        <w:pStyle w:val="ListBullet"/>
        <w:spacing w:after="120"/>
      </w:pPr>
      <w:r>
        <w:t>Regulatory enforcement and compliance exposure</w:t>
      </w:r>
    </w:p>
    <w:p w14:paraId="0824DCD9" w14:textId="77777777" w:rsidR="00FC5519" w:rsidRDefault="00000000">
      <w:pPr>
        <w:pStyle w:val="ListBullet"/>
        <w:spacing w:after="120"/>
      </w:pPr>
      <w:r>
        <w:t>Unanticipated tax liabilities and penalties</w:t>
      </w:r>
    </w:p>
    <w:p w14:paraId="09392DFA" w14:textId="77777777" w:rsidR="00FC5519" w:rsidRDefault="00000000">
      <w:pPr>
        <w:pStyle w:val="ListBullet"/>
        <w:spacing w:after="120"/>
      </w:pPr>
      <w:r>
        <w:t>Operational friction, including banking and payment constraints</w:t>
      </w:r>
    </w:p>
    <w:p w14:paraId="71A58BAF" w14:textId="77777777" w:rsidR="00FC5519" w:rsidRDefault="00000000">
      <w:pPr>
        <w:pStyle w:val="ListBullet"/>
        <w:spacing w:after="120"/>
      </w:pPr>
      <w:r>
        <w:t>Reduced credibility with regulators and counterparties</w:t>
      </w:r>
    </w:p>
    <w:p w14:paraId="76ECBDCB" w14:textId="77777777" w:rsidR="00FC5519" w:rsidRDefault="00000000">
      <w:pPr>
        <w:spacing w:before="280"/>
      </w:pPr>
      <w:r>
        <w:rPr>
          <w:b/>
          <w:sz w:val="24"/>
        </w:rPr>
        <w:t>JOPAD Position and Recommended Approach</w:t>
      </w:r>
    </w:p>
    <w:p w14:paraId="733A1372" w14:textId="77777777" w:rsidR="00FC5519" w:rsidRDefault="00000000">
      <w:pPr>
        <w:spacing w:after="160"/>
      </w:pPr>
      <w:r>
        <w:t>Nigeria should be approached as an active and assertive tax jurisdiction. Businesses engaging Nigerian customers should adopt a deliberate structuring strategy that:</w:t>
      </w:r>
    </w:p>
    <w:p w14:paraId="1609029D" w14:textId="77777777" w:rsidR="00FC5519" w:rsidRDefault="00000000">
      <w:pPr>
        <w:pStyle w:val="ListBullet"/>
        <w:spacing w:after="120"/>
      </w:pPr>
      <w:r>
        <w:t>Clearly distinguishes Nigerian-source income from offshore revenue</w:t>
      </w:r>
    </w:p>
    <w:p w14:paraId="72B600CC" w14:textId="77777777" w:rsidR="00FC5519" w:rsidRDefault="00000000">
      <w:pPr>
        <w:pStyle w:val="ListBullet"/>
        <w:spacing w:after="120"/>
      </w:pPr>
      <w:r>
        <w:lastRenderedPageBreak/>
        <w:t>Assesses exposure under Significant Economic Presence thresholds</w:t>
      </w:r>
    </w:p>
    <w:p w14:paraId="4B49820D" w14:textId="77777777" w:rsidR="00FC5519" w:rsidRDefault="00000000">
      <w:pPr>
        <w:pStyle w:val="ListBullet"/>
        <w:spacing w:after="120"/>
      </w:pPr>
      <w:r>
        <w:t>Aligns entity structure with Nigerian regulatory expectations</w:t>
      </w:r>
    </w:p>
    <w:p w14:paraId="5E0F14F2" w14:textId="77777777" w:rsidR="00FC5519" w:rsidRDefault="00000000">
      <w:pPr>
        <w:pStyle w:val="ListBullet"/>
        <w:spacing w:after="120"/>
      </w:pPr>
      <w:r>
        <w:t>Ensures efficient withholding tax and corporate tax positioning</w:t>
      </w:r>
    </w:p>
    <w:p w14:paraId="03A37B28" w14:textId="77777777" w:rsidR="00FC5519" w:rsidRDefault="00000000">
      <w:pPr>
        <w:pStyle w:val="ListBullet"/>
        <w:spacing w:after="120"/>
      </w:pPr>
      <w:r>
        <w:t>Implements documentation and internal controls to support defensibility</w:t>
      </w:r>
    </w:p>
    <w:p w14:paraId="31B86EF2" w14:textId="77777777" w:rsidR="00FC5519" w:rsidRDefault="00000000">
      <w:pPr>
        <w:spacing w:before="280"/>
      </w:pPr>
      <w:r>
        <w:rPr>
          <w:b/>
          <w:sz w:val="24"/>
        </w:rPr>
        <w:t>Conclusion</w:t>
      </w:r>
    </w:p>
    <w:p w14:paraId="0B850359" w14:textId="77777777" w:rsidR="00FC5519" w:rsidRDefault="00000000">
      <w:pPr>
        <w:spacing w:after="160"/>
      </w:pPr>
      <w:r>
        <w:t>Nigeria’s tax regime is designed to capture value derived from its market irrespective of where a business is incorporated. The priority is to establish a structure that is compliant, operationally viable, and capable of withstanding regulatory scrutiny while supporting long-term commercial objectives.</w:t>
      </w:r>
    </w:p>
    <w:p w14:paraId="08DE211C" w14:textId="75A51E2F" w:rsidR="00FC5519" w:rsidRDefault="00000000">
      <w:r>
        <w:br/>
        <w:t>Jogos Partners &amp; Advisory LP (JOPAD)</w:t>
      </w:r>
      <w:r>
        <w:br/>
        <w:t>Virtual-First Advisory Practice</w:t>
      </w:r>
      <w:r>
        <w:br/>
        <w:t>Abuja, Nigeria</w:t>
      </w:r>
    </w:p>
    <w:sectPr w:rsidR="00FC5519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6CA7" w14:textId="77777777" w:rsidR="006E6CEC" w:rsidRDefault="006E6CEC">
      <w:pPr>
        <w:spacing w:after="0" w:line="240" w:lineRule="auto"/>
      </w:pPr>
      <w:r>
        <w:separator/>
      </w:r>
    </w:p>
  </w:endnote>
  <w:endnote w:type="continuationSeparator" w:id="0">
    <w:p w14:paraId="1A6640DD" w14:textId="77777777" w:rsidR="006E6CEC" w:rsidRDefault="006E6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D1C9" w14:textId="1803F454" w:rsidR="00FC5519" w:rsidRDefault="00000000">
    <w:pPr>
      <w:pStyle w:val="Footer"/>
      <w:jc w:val="center"/>
    </w:pPr>
    <w:r>
      <w:rPr>
        <w:sz w:val="18"/>
      </w:rPr>
      <w:t xml:space="preserve">Abuja, Nigeria | Strategic Legal and Regulatory Guidance | </w:t>
    </w:r>
    <w:hyperlink r:id="rId1" w:history="1">
      <w:r w:rsidR="005E7DC6" w:rsidRPr="00C945F7">
        <w:rPr>
          <w:rStyle w:val="Hyperlink"/>
          <w:sz w:val="18"/>
        </w:rPr>
        <w:t>www.jopadconsulting.com</w:t>
      </w:r>
    </w:hyperlink>
    <w:r w:rsidR="005E7DC6"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2311A" w14:textId="77777777" w:rsidR="006E6CEC" w:rsidRDefault="006E6CEC">
      <w:pPr>
        <w:spacing w:after="0" w:line="240" w:lineRule="auto"/>
      </w:pPr>
      <w:r>
        <w:separator/>
      </w:r>
    </w:p>
  </w:footnote>
  <w:footnote w:type="continuationSeparator" w:id="0">
    <w:p w14:paraId="5E161FEE" w14:textId="77777777" w:rsidR="006E6CEC" w:rsidRDefault="006E6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8A0C3" w14:textId="77777777" w:rsidR="00FC5519" w:rsidRDefault="00000000">
    <w:pPr>
      <w:pStyle w:val="Header"/>
    </w:pPr>
    <w:r>
      <w:rPr>
        <w:b/>
        <w:sz w:val="20"/>
      </w:rPr>
      <w:t>JOGOS PARTNERS &amp; ADVISORY LP (JOPAD)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698315">
    <w:abstractNumId w:val="8"/>
  </w:num>
  <w:num w:numId="2" w16cid:durableId="528761207">
    <w:abstractNumId w:val="6"/>
  </w:num>
  <w:num w:numId="3" w16cid:durableId="1195919885">
    <w:abstractNumId w:val="5"/>
  </w:num>
  <w:num w:numId="4" w16cid:durableId="884677314">
    <w:abstractNumId w:val="4"/>
  </w:num>
  <w:num w:numId="5" w16cid:durableId="1807352641">
    <w:abstractNumId w:val="7"/>
  </w:num>
  <w:num w:numId="6" w16cid:durableId="1180513336">
    <w:abstractNumId w:val="3"/>
  </w:num>
  <w:num w:numId="7" w16cid:durableId="1176185368">
    <w:abstractNumId w:val="2"/>
  </w:num>
  <w:num w:numId="8" w16cid:durableId="246426650">
    <w:abstractNumId w:val="1"/>
  </w:num>
  <w:num w:numId="9" w16cid:durableId="202003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DC6"/>
    <w:rsid w:val="006E6CEC"/>
    <w:rsid w:val="008A77C5"/>
    <w:rsid w:val="00AA1D8D"/>
    <w:rsid w:val="00B47730"/>
    <w:rsid w:val="00CB0664"/>
    <w:rsid w:val="00FC55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3760A"/>
  <w14:defaultImageDpi w14:val="300"/>
  <w15:docId w15:val="{17D43FF7-1F00-4AD5-ADDA-97771F44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7D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opadconsul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327</Words>
  <Characters>2286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 odunna</cp:lastModifiedBy>
  <cp:revision>2</cp:revision>
  <dcterms:created xsi:type="dcterms:W3CDTF">2026-05-06T05:13:00Z</dcterms:created>
  <dcterms:modified xsi:type="dcterms:W3CDTF">2026-05-06T05:13:00Z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8a12bf5b-9460-46cc-a4bd-c6c43bec82cc</vt:lpwstr>
  </property>
</Properties>
</file>