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Слайд після 2: тексти</w:t>
      </w:r>
    </w:p>
    <w:p>
      <w:r>
        <w:rPr>
          <w:b/>
          <w:sz w:val="18"/>
        </w:rPr>
        <w:t>Заголовок</w:t>
      </w:r>
    </w:p>
    <w:p>
      <w:r>
        <w:t>Чому 16 %, а не 15 % чи 17 %</w:t>
      </w:r>
    </w:p>
    <w:p>
      <w:r>
        <w:rPr>
          <w:b/>
          <w:sz w:val="18"/>
        </w:rPr>
        <w:t>Підзаголовок</w:t>
      </w:r>
    </w:p>
    <w:p>
      <w:r>
        <w:t>Три прогони FINEX-QPM на 8 кварталів</w:t>
      </w:r>
    </w:p>
    <w:p>
      <w:r>
        <w:rPr>
          <w:b/>
          <w:sz w:val="18"/>
        </w:rPr>
        <w:t>Підпис під підзаголовком</w:t>
      </w:r>
    </w:p>
    <w:p>
      <w:r>
        <w:t>рішення 29.10.2026 (чинність з 30.10): 15 %, 16 % або 17 %; далі ставка — за правилом (57)</w:t>
      </w:r>
    </w:p>
    <w:p>
      <w:r>
        <w:rPr>
          <w:b/>
          <w:sz w:val="18"/>
        </w:rPr>
        <w:t>Ключове повідомлення (за бажанням)</w:t>
      </w:r>
    </w:p>
    <w:p>
      <w:r>
        <w:t>Зміна рішення на ±1 п.п. змінює інфляцію лише на ∓0,2 п.п. і ВВП на ±0,07 п.п.; до 2027Q4 ставки всіх прогонів сходяться. 16 % — рекомендація правила (57) і компроміс між дезінфляцією, ВВП і курсом.</w:t>
      </w:r>
    </w:p>
    <w:p>
      <w:r>
        <w:rPr>
          <w:b/>
          <w:sz w:val="18"/>
        </w:rPr>
        <w:t>Висновок — заголовок</w:t>
      </w:r>
    </w:p>
    <w:p>
      <w:r>
        <w:t>Висновок: компроміс між дезінфляцією, ВВП і курсом</w:t>
      </w:r>
    </w:p>
    <w:p>
      <w:r>
        <w:rPr>
          <w:b/>
          <w:sz w:val="18"/>
        </w:rPr>
        <w:t>Висновок — 15 %</w:t>
      </w:r>
    </w:p>
    <w:p>
      <w:r>
        <w:t>Сповільнює дезінфляцію (ІСЦ +0,2 п.п. у 2027Q4) за мізерного виграшу ВВП (+0,07 п.п.); слабша гривня (+0,25 грн/EUR) і менші резерви. Знижувати при ІСЦ 10 % і очікуваннях 12 % — ризик для довіри; у 2028 р. правило вимагатиме вищої ставки (12,3 %).</w:t>
      </w:r>
    </w:p>
    <w:p>
      <w:r>
        <w:rPr>
          <w:b/>
          <w:sz w:val="18"/>
        </w:rPr>
        <w:t>Висновок — 16 %</w:t>
      </w:r>
    </w:p>
    <w:p>
      <w:r>
        <w:t>Збігається з правилом (57): 15,92 % ≈ 16 %. Реальна ставка 7,1 % проти нейтральної 4,4 % достатня, щоб ІСЦ знизився з 10,0 % до 6,4 % без додаткових втрат ВВП.</w:t>
      </w:r>
    </w:p>
    <w:p>
      <w:r>
        <w:rPr>
          <w:b/>
          <w:sz w:val="18"/>
        </w:rPr>
        <w:t>Висновок — 17 %</w:t>
      </w:r>
    </w:p>
    <w:p>
      <w:r>
        <w:t>Інфляція нижча лише на 0,2 п.п., ціль 5 % на горизонті однаково не досягається; ВВП −0,07 п.п., реальна ставка 7,8 %. Ефект короткий: до 2027Q4 ставки всіх прогонів сходяться (13,7–13,8 %).</w:t>
      </w:r>
    </w:p>
    <w:p>
      <w:r>
        <w:rPr>
          <w:b/>
          <w:sz w:val="18"/>
        </w:rPr>
        <w:t>Примітка (методика)</w:t>
      </w:r>
    </w:p>
    <w:p>
      <w:r>
        <w:t>16 % — базовий прогноз (правило (57) дає середню 2026Q4 15,92 %). 15 % і 17 % — той самий прогноз + одноразовий шок правила (57) у 2026Q4: нова ставка діє 63 з 92 днів кварталу, тож середня 2026Q4 змінюється на ∓0,68 п.п.; з 2027Q1 ставка — за правилом. Імовірність — 5000 бутстреп-траєкторій шоків (без 2022 р.), центрованих на кожному прогоні; віяло резервів широке через історичні шоки офіційного фінансування.</w:t>
      </w:r>
    </w:p>
    <w:p>
      <w:r>
        <w:rPr>
          <w:b/>
          <w:sz w:val="18"/>
        </w:rPr>
        <w:t>Джерело</w:t>
      </w:r>
    </w:p>
    <w:p>
      <w:r>
        <w:t>Джерело: модель команди</w:t>
      </w:r>
    </w:p>
    <w:p>
      <w:r>
        <w:rPr>
          <w:b/>
          <w:sz w:val="18"/>
        </w:rPr>
        <w:t>Колонтитул</w:t>
      </w:r>
    </w:p>
    <w:p>
      <w:r>
        <w:t>Жовтень 2026</w:t>
      </w:r>
    </w:p>
    <w:p>
      <w:pPr>
        <w:pStyle w:val="Heading2"/>
      </w:pPr>
      <w:r>
        <w:t>Назви міні-графіків</w:t>
      </w:r>
    </w:p>
    <w:p>
      <w:pPr>
        <w:pStyle w:val="ListBullet"/>
      </w:pPr>
      <w:r>
        <w:t>Облікова ставка, % (середня за квартал)</w:t>
      </w:r>
    </w:p>
    <w:p>
      <w:pPr>
        <w:pStyle w:val="ListBullet"/>
      </w:pPr>
      <w:r>
        <w:t>Інфляція ІСЦ, % р/р — Виділено 2027Q4 і 2028Q3</w:t>
      </w:r>
    </w:p>
    <w:p>
      <w:pPr>
        <w:pStyle w:val="ListBullet"/>
      </w:pPr>
      <w:r>
        <w:t>Реальний ВВП, % р/р — Виділено 2027Q4</w:t>
      </w:r>
    </w:p>
    <w:p>
      <w:pPr>
        <w:pStyle w:val="ListBullet"/>
      </w:pPr>
      <w:r>
        <w:t>Курс гривні до євро, грн/EUR — Виділено 2028Q3</w:t>
      </w:r>
    </w:p>
    <w:p>
      <w:r>
        <w:t>Легенда: «рішення 29.10: 15 %», «рішення 29.10: 16 % (база)», «рішення 29.10: 17 %».</w:t>
      </w:r>
    </w:p>
    <w:p>
      <w:pPr>
        <w:pStyle w:val="Heading2"/>
      </w:pPr>
      <w:r>
        <w:t>Таблиця показників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Показник</w:t>
            </w:r>
          </w:p>
        </w:tc>
        <w:tc>
          <w:tcPr>
            <w:tcW w:type="dxa" w:w="2160"/>
          </w:tcPr>
          <w:p>
            <w:r>
              <w:t>15 %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  <w:tc>
          <w:tcPr>
            <w:tcW w:type="dxa" w:w="2160"/>
          </w:tcPr>
          <w:p>
            <w:r>
              <w:t>17 %</w:t>
            </w:r>
          </w:p>
        </w:tc>
      </w:tr>
      <w:tr>
        <w:tc>
          <w:tcPr>
            <w:tcW w:type="dxa" w:w="2160"/>
          </w:tcPr>
          <w:p>
            <w:r>
              <w:t>Середня ставка 2026Q4, %</w:t>
            </w:r>
          </w:p>
        </w:tc>
        <w:tc>
          <w:tcPr>
            <w:tcW w:type="dxa" w:w="2160"/>
          </w:tcPr>
          <w:p>
            <w:r>
              <w:t>15,23</w:t>
            </w:r>
          </w:p>
        </w:tc>
        <w:tc>
          <w:tcPr>
            <w:tcW w:type="dxa" w:w="2160"/>
          </w:tcPr>
          <w:p>
            <w:r>
              <w:t>15,92</w:t>
            </w:r>
          </w:p>
        </w:tc>
        <w:tc>
          <w:tcPr>
            <w:tcW w:type="dxa" w:w="2160"/>
          </w:tcPr>
          <w:p>
            <w:r>
              <w:t>16,60</w:t>
            </w:r>
          </w:p>
        </w:tc>
      </w:tr>
      <w:tr>
        <w:tc>
          <w:tcPr>
            <w:tcW w:type="dxa" w:w="2160"/>
          </w:tcPr>
          <w:p>
            <w:r>
              <w:t>Реальна ставка 2026Q4 (ex ante), %</w:t>
            </w:r>
          </w:p>
        </w:tc>
        <w:tc>
          <w:tcPr>
            <w:tcW w:type="dxa" w:w="2160"/>
          </w:tcPr>
          <w:p>
            <w:r>
              <w:t>6,4</w:t>
            </w:r>
          </w:p>
        </w:tc>
        <w:tc>
          <w:tcPr>
            <w:tcW w:type="dxa" w:w="2160"/>
          </w:tcPr>
          <w:p>
            <w:r>
              <w:t>7,1</w:t>
            </w:r>
          </w:p>
        </w:tc>
        <w:tc>
          <w:tcPr>
            <w:tcW w:type="dxa" w:w="2160"/>
          </w:tcPr>
          <w:p>
            <w:r>
              <w:t>7,8</w:t>
            </w:r>
          </w:p>
        </w:tc>
      </w:tr>
      <w:tr>
        <w:tc>
          <w:tcPr>
            <w:tcW w:type="dxa" w:w="2160"/>
          </w:tcPr>
          <w:p>
            <w:r>
              <w:t>Інфляція ІСЦ 2027Q4, % р/р</w:t>
            </w:r>
          </w:p>
        </w:tc>
        <w:tc>
          <w:tcPr>
            <w:tcW w:type="dxa" w:w="2160"/>
          </w:tcPr>
          <w:p>
            <w:r>
              <w:t>9,01</w:t>
            </w:r>
          </w:p>
        </w:tc>
        <w:tc>
          <w:tcPr>
            <w:tcW w:type="dxa" w:w="2160"/>
          </w:tcPr>
          <w:p>
            <w:r>
              <w:t>8,84</w:t>
            </w:r>
          </w:p>
        </w:tc>
        <w:tc>
          <w:tcPr>
            <w:tcW w:type="dxa" w:w="2160"/>
          </w:tcPr>
          <w:p>
            <w:r>
              <w:t>8,67</w:t>
            </w:r>
          </w:p>
        </w:tc>
      </w:tr>
      <w:tr>
        <w:tc>
          <w:tcPr>
            <w:tcW w:type="dxa" w:w="2160"/>
          </w:tcPr>
          <w:p>
            <w:r>
              <w:t>Інфляція ІСЦ 2028Q3, % р/р</w:t>
            </w:r>
          </w:p>
        </w:tc>
        <w:tc>
          <w:tcPr>
            <w:tcW w:type="dxa" w:w="2160"/>
          </w:tcPr>
          <w:p>
            <w:r>
              <w:t>6,62</w:t>
            </w:r>
          </w:p>
        </w:tc>
        <w:tc>
          <w:tcPr>
            <w:tcW w:type="dxa" w:w="2160"/>
          </w:tcPr>
          <w:p>
            <w:r>
              <w:t>6,39</w:t>
            </w:r>
          </w:p>
        </w:tc>
        <w:tc>
          <w:tcPr>
            <w:tcW w:type="dxa" w:w="2160"/>
          </w:tcPr>
          <w:p>
            <w:r>
              <w:t>6,17</w:t>
            </w:r>
          </w:p>
        </w:tc>
      </w:tr>
      <w:tr>
        <w:tc>
          <w:tcPr>
            <w:tcW w:type="dxa" w:w="2160"/>
          </w:tcPr>
          <w:p>
            <w:r>
              <w:t>ВВП 2027Q4, % р/р</w:t>
            </w:r>
          </w:p>
        </w:tc>
        <w:tc>
          <w:tcPr>
            <w:tcW w:type="dxa" w:w="2160"/>
          </w:tcPr>
          <w:p>
            <w:r>
              <w:t>1,88</w:t>
            </w:r>
          </w:p>
        </w:tc>
        <w:tc>
          <w:tcPr>
            <w:tcW w:type="dxa" w:w="2160"/>
          </w:tcPr>
          <w:p>
            <w:r>
              <w:t>1,81</w:t>
            </w:r>
          </w:p>
        </w:tc>
        <w:tc>
          <w:tcPr>
            <w:tcW w:type="dxa" w:w="2160"/>
          </w:tcPr>
          <w:p>
            <w:r>
              <w:t>1,74</w:t>
            </w:r>
          </w:p>
        </w:tc>
      </w:tr>
      <w:tr>
        <w:tc>
          <w:tcPr>
            <w:tcW w:type="dxa" w:w="2160"/>
          </w:tcPr>
          <w:p>
            <w:r>
              <w:t>Курс 2028Q3, грн/EUR</w:t>
            </w:r>
          </w:p>
        </w:tc>
        <w:tc>
          <w:tcPr>
            <w:tcW w:type="dxa" w:w="2160"/>
          </w:tcPr>
          <w:p>
            <w:r>
              <w:t>56,35</w:t>
            </w:r>
          </w:p>
        </w:tc>
        <w:tc>
          <w:tcPr>
            <w:tcW w:type="dxa" w:w="2160"/>
          </w:tcPr>
          <w:p>
            <w:r>
              <w:t>56,10</w:t>
            </w:r>
          </w:p>
        </w:tc>
        <w:tc>
          <w:tcPr>
            <w:tcW w:type="dxa" w:w="2160"/>
          </w:tcPr>
          <w:p>
            <w:r>
              <w:t>55,84</w:t>
            </w:r>
          </w:p>
        </w:tc>
      </w:tr>
      <w:tr>
        <w:tc>
          <w:tcPr>
            <w:tcW w:type="dxa" w:w="2160"/>
          </w:tcPr>
          <w:p>
            <w:r>
              <w:t>Резерви 2028Q3, міс. імпорту</w:t>
            </w:r>
          </w:p>
        </w:tc>
        <w:tc>
          <w:tcPr>
            <w:tcW w:type="dxa" w:w="2160"/>
          </w:tcPr>
          <w:p>
            <w:r>
              <w:t>4,69</w:t>
            </w:r>
          </w:p>
        </w:tc>
        <w:tc>
          <w:tcPr>
            <w:tcW w:type="dxa" w:w="2160"/>
          </w:tcPr>
          <w:p>
            <w:r>
              <w:t>4,75</w:t>
            </w:r>
          </w:p>
        </w:tc>
        <w:tc>
          <w:tcPr>
            <w:tcW w:type="dxa" w:w="2160"/>
          </w:tcPr>
          <w:p>
            <w:r>
              <w:t>4,81</w:t>
            </w:r>
          </w:p>
        </w:tc>
      </w:tr>
      <w:tr>
        <w:tc>
          <w:tcPr>
            <w:tcW w:type="dxa" w:w="2160"/>
          </w:tcPr>
          <w:p>
            <w:r>
              <w:t>Імовірність утримати резерви ≥ 3 міс. імпорту в усі 8 кв., %</w:t>
            </w:r>
          </w:p>
        </w:tc>
        <w:tc>
          <w:tcPr>
            <w:tcW w:type="dxa" w:w="2160"/>
          </w:tcPr>
          <w:p>
            <w:r>
              <w:t>51,9</w:t>
            </w:r>
          </w:p>
        </w:tc>
        <w:tc>
          <w:tcPr>
            <w:tcW w:type="dxa" w:w="2160"/>
          </w:tcPr>
          <w:p>
            <w:r>
              <w:t>52,5</w:t>
            </w:r>
          </w:p>
        </w:tc>
        <w:tc>
          <w:tcPr>
            <w:tcW w:type="dxa" w:w="2160"/>
          </w:tcPr>
          <w:p>
            <w:r>
              <w:t>53,3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