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2F06" w:rsidRDefault="009C17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Бизнес-план</w:t>
      </w:r>
    </w:p>
    <w:p w:rsidR="00762F06" w:rsidRDefault="009C171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«ZOV PERUNA»</w:t>
      </w:r>
    </w:p>
    <w:p w:rsidR="00762F06" w:rsidRDefault="009C171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1830070" cy="2087880"/>
            <wp:effectExtent l="0" t="0" r="0" b="0"/>
            <wp:docPr id="1" name="Рисунок 2" descr="Волк логотип (69 фото) скача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Волк логотип (69 фото) скачать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F06" w:rsidRDefault="0034199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фирмы: ZО</w:t>
      </w:r>
      <w:r w:rsidR="009C1716">
        <w:rPr>
          <w:rFonts w:ascii="Times New Roman" w:hAnsi="Times New Roman" w:cs="Times New Roman"/>
          <w:sz w:val="28"/>
          <w:szCs w:val="28"/>
        </w:rPr>
        <w:t>V PERUNA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Контактные данные:</w:t>
      </w:r>
    </w:p>
    <w:p w:rsidR="00762F06" w:rsidRDefault="009C17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фактический адрес: г. Минск ул. Пушкина, д. 135</w:t>
      </w:r>
    </w:p>
    <w:p w:rsidR="00762F06" w:rsidRDefault="009C1716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г. Минск ул. Луговая, д. 69,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каб</w:t>
      </w:r>
      <w:proofErr w:type="spellEnd"/>
      <w:r>
        <w:rPr>
          <w:rFonts w:ascii="Times New Roman" w:hAnsi="Times New Roman" w:cs="Times New Roman"/>
          <w:sz w:val="28"/>
          <w:szCs w:val="28"/>
        </w:rPr>
        <w:t>. 228</w:t>
      </w:r>
    </w:p>
    <w:p w:rsidR="00762F06" w:rsidRDefault="00AA7647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телефон: +375 (44) 228-14-37</w:t>
      </w:r>
      <w:r w:rsidR="009C1716">
        <w:rPr>
          <w:rFonts w:ascii="Times New Roman" w:hAnsi="Times New Roman" w:cs="Times New Roman"/>
          <w:sz w:val="28"/>
          <w:szCs w:val="28"/>
        </w:rPr>
        <w:t>; факс: 50-42-00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Руководители компании: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5D2488">
        <w:rPr>
          <w:rFonts w:ascii="Times New Roman" w:hAnsi="Times New Roman" w:cs="Times New Roman"/>
          <w:sz w:val="28"/>
          <w:szCs w:val="28"/>
        </w:rPr>
        <w:t>Деруго</w:t>
      </w:r>
      <w:proofErr w:type="spellEnd"/>
      <w:r w:rsidR="005D2488">
        <w:rPr>
          <w:rFonts w:ascii="Times New Roman" w:hAnsi="Times New Roman" w:cs="Times New Roman"/>
          <w:sz w:val="28"/>
          <w:szCs w:val="28"/>
        </w:rPr>
        <w:t xml:space="preserve"> Дмитрий Витальевич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2488">
        <w:rPr>
          <w:rFonts w:ascii="Times New Roman" w:hAnsi="Times New Roman" w:cs="Times New Roman"/>
          <w:sz w:val="28"/>
          <w:szCs w:val="28"/>
        </w:rPr>
        <w:t>Сенкевич</w:t>
      </w:r>
      <w:r>
        <w:rPr>
          <w:rFonts w:ascii="Times New Roman" w:hAnsi="Times New Roman" w:cs="Times New Roman"/>
          <w:sz w:val="28"/>
          <w:szCs w:val="28"/>
        </w:rPr>
        <w:t xml:space="preserve"> Эдвард Сергеевич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Разработали бизнес-план: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Антохов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488">
        <w:rPr>
          <w:rFonts w:ascii="Times New Roman" w:hAnsi="Times New Roman" w:cs="Times New Roman"/>
          <w:sz w:val="28"/>
          <w:szCs w:val="28"/>
        </w:rPr>
        <w:t>А. С.</w:t>
      </w: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Сенкевич </w:t>
      </w:r>
      <w:r w:rsidR="005D2488">
        <w:rPr>
          <w:rFonts w:ascii="Times New Roman" w:hAnsi="Times New Roman" w:cs="Times New Roman"/>
          <w:sz w:val="28"/>
          <w:szCs w:val="28"/>
        </w:rPr>
        <w:t>Э. И.</w:t>
      </w:r>
    </w:p>
    <w:p w:rsidR="005D2488" w:rsidRDefault="005D2488" w:rsidP="005D24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Деруго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В.</w:t>
      </w:r>
    </w:p>
    <w:p w:rsidR="005D2488" w:rsidRDefault="005D2488" w:rsidP="005D248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Григорик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 А.</w:t>
      </w:r>
    </w:p>
    <w:p w:rsidR="00762F06" w:rsidRDefault="005D2488" w:rsidP="00BC23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Сикорин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С.</w:t>
      </w:r>
    </w:p>
    <w:p w:rsidR="00BC236E" w:rsidRDefault="00BC236E" w:rsidP="00BC236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D9708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Разработан: 24</w:t>
      </w:r>
      <w:r w:rsidR="009C1716">
        <w:rPr>
          <w:rFonts w:ascii="Times New Roman" w:hAnsi="Times New Roman" w:cs="Times New Roman"/>
          <w:sz w:val="28"/>
          <w:szCs w:val="28"/>
        </w:rPr>
        <w:t xml:space="preserve"> апреля 2023 года</w:t>
      </w:r>
    </w:p>
    <w:p w:rsidR="00BC236E" w:rsidRDefault="00BC2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36E" w:rsidRDefault="00BC2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236E" w:rsidRDefault="00BC236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Конфиденциальность: вся информация находится в открытом доступе и не требует соблюдения правил конфиденциальности.</w:t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Резюме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проекта: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магазина славянских продуктов PERUN, который будет специализироваться на продаже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Целью проекта является создание успешного бизнеса, который будет предлагать уникальный ассортимент продуктов и услуг, связанных с культурой древних славян, и обеспечивать высокую прибыльность для инвесторов.</w:t>
      </w:r>
    </w:p>
    <w:p w:rsidR="00A64B8C" w:rsidRDefault="00A64B8C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описание компании: 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PERUN - это магазин, специализирующийся на продаже славянских продуктов и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Мы предлагаем уникальный ассортимент продуктов и услуг, которые позволяют нашим клиентам погрузиться в мир древней славянской культуры.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Краткое изложение наиболее привлекательных моментов бизнес-идеи: </w:t>
      </w:r>
    </w:p>
    <w:p w:rsidR="00A64B8C" w:rsidRDefault="009C1716" w:rsidP="00087A05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PERUN предлагает уникальный ассортимент продуктов и услуг, которые связаны с культурой древних славян. Магазин будет иметь большой выбор символики, национальной одежды, книг, музыки и других товаров, которые позволят нашим клиентам более глубоко погрузиться в мир древней славянской культуры. Мы стремимся стать одним из лидеров на рынке продуктов, связанных с культурой древних славян.</w:t>
      </w:r>
    </w:p>
    <w:p w:rsidR="00087A05" w:rsidRPr="00087A05" w:rsidRDefault="00087A05" w:rsidP="00087A05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62F06" w:rsidRDefault="009C1716">
      <w:pPr>
        <w:pStyle w:val="a7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показатели, характеризующие эффективность проекта: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Прогнозируемая выручка от продаж за первый год работы составляет </w:t>
      </w:r>
      <w:r w:rsidR="003014EB">
        <w:rPr>
          <w:rFonts w:ascii="Times New Roman" w:hAnsi="Times New Roman" w:cs="Times New Roman"/>
          <w:sz w:val="28"/>
          <w:szCs w:val="28"/>
        </w:rPr>
        <w:t>459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4EB">
        <w:rPr>
          <w:rFonts w:ascii="Times New Roman" w:hAnsi="Times New Roman" w:cs="Times New Roman"/>
          <w:sz w:val="28"/>
          <w:szCs w:val="28"/>
        </w:rPr>
        <w:t>тысяч</w:t>
      </w:r>
      <w:r>
        <w:rPr>
          <w:rFonts w:ascii="Times New Roman" w:hAnsi="Times New Roman" w:cs="Times New Roman"/>
          <w:sz w:val="28"/>
          <w:szCs w:val="28"/>
        </w:rPr>
        <w:t xml:space="preserve"> рублей, а прибыль </w:t>
      </w:r>
      <w:r w:rsidR="003014E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014EB">
        <w:rPr>
          <w:rFonts w:ascii="Times New Roman" w:hAnsi="Times New Roman" w:cs="Times New Roman"/>
          <w:sz w:val="28"/>
          <w:szCs w:val="28"/>
        </w:rPr>
        <w:t>113 тысяч</w:t>
      </w:r>
      <w:r>
        <w:rPr>
          <w:rFonts w:ascii="Times New Roman" w:hAnsi="Times New Roman" w:cs="Times New Roman"/>
          <w:sz w:val="28"/>
          <w:szCs w:val="28"/>
        </w:rPr>
        <w:t xml:space="preserve"> рублей. Окупаемость проекта ожидается через 2 года.</w:t>
      </w:r>
    </w:p>
    <w:p w:rsidR="00087A05" w:rsidRDefault="00087A05">
      <w:pPr>
        <w:pStyle w:val="a7"/>
        <w:ind w:left="1140"/>
        <w:jc w:val="both"/>
        <w:rPr>
          <w:sz w:val="28"/>
          <w:szCs w:val="28"/>
        </w:rPr>
      </w:pP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Факты, подтверждающие надёжность предприятия: Для подтверждения надежности предприятия PERUN можно указать следующие факты: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Опыт работы основателей: Учредители имеют опыт работы в сфере торговли, производства и маркетинга, что говорит о их компетенции и знаниях в этой области.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Анализ конкурентной среды: Рынок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перспективным и имеет потенциал для роста. При этом, на </w:t>
      </w:r>
      <w:r>
        <w:rPr>
          <w:rFonts w:ascii="Times New Roman" w:hAnsi="Times New Roman" w:cs="Times New Roman"/>
          <w:sz w:val="28"/>
          <w:szCs w:val="28"/>
        </w:rPr>
        <w:lastRenderedPageBreak/>
        <w:t>данный момент, на рынке нет магазинов, специализирующихся именно на этом виде продукции, что делает нашу компанию уникальной и востребованной.</w:t>
      </w:r>
    </w:p>
    <w:p w:rsidR="00762F06" w:rsidRDefault="00762F06">
      <w:pPr>
        <w:pStyle w:val="a7"/>
        <w:jc w:val="both"/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Инвестиции в маркетинг: Магазин PERUN планирует инвестировать в маркетинг, что позволит привлечь больше потенциальных покупателей и увеличить узнаваемость бренда.</w:t>
      </w:r>
    </w:p>
    <w:p w:rsidR="00762F06" w:rsidRDefault="00762F06">
      <w:pPr>
        <w:pStyle w:val="a7"/>
        <w:ind w:left="0"/>
        <w:jc w:val="both"/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Открытость и прозрачность: PERUN стремится к установлению доверительных отношений с клиентами, планируя предоставлять всю необходимую информацию о продукции, ее происхождении, качестве и цене. 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Контроль качества: PERUN будет сотрудничать с проверенными и надежными поставщиками, а также будет проводить контроль качества продукции перед ее продажей, что гарантирует высокое качество и доверие клиентов.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Финансовая устойчивость: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бизнес-плане PERUN предусмотрены меры по снижению рисков и обеспечению финансовой устойчивости, такие как разнообразие продуктовой линейки, стратегия ценообразования, контроль расходов и прогнозирование потребности в капитале.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факты вместе подтверждают надежность предприятия PERUN и способность компании достичь успеха в выбранном сегменте рынка.</w:t>
      </w:r>
    </w:p>
    <w:p w:rsidR="00762F06" w:rsidRDefault="00762F06">
      <w:pPr>
        <w:pStyle w:val="a7"/>
        <w:ind w:left="0"/>
        <w:jc w:val="both"/>
      </w:pP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предприятия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виды деятельности 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виды деятельности для нашего магазина PERUN могут быть:</w:t>
      </w:r>
    </w:p>
    <w:p w:rsidR="00762F06" w:rsidRDefault="00762F06">
      <w:pPr>
        <w:pStyle w:val="a7"/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Продажа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мы предлагаем широкий ассортимент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включая изображения богов, символы силы и защиты, амулеты и талисманы.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Продажа славянских продуктов: мы предлагаем широкий ассортимент славянских продуктов, включая мед, молочные продукты, квас, крупы, муку, специи и другие продукты, которые известны в нашей культуре.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Организация мастер-классов и семинаров: мы предлагаем организацию мастер-классов и семинаров, посвященных древней культуре русских и других славянских народов. Это могут быть мастер-классы по вышивке, росписи предметов быта, изготовлению амулетов и талисманов, кулинарные семинары и многое другое.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Организация туров по древним местам России: мы предлагаем организацию туров по древним местам России, которые связаны с древней культурой русских и других славянских народов. Это могут быть туры в древние города, музеи и другие достопримечательности.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Организация мероприятий: мы предлагаем организацию мероприятий, связанных с древней культурой русских и других славянских народов, таких как концерты, театральные постановки, выставки и другие мероприятия. 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Консультации по выбору символики: мы предлагаем консультации по выбору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помогая нашим клиентам выбрать наиболее подходящие символы для их нужд и желаний. 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Продажа сувениров: мы предлагаем продажу сувениров, связанных с древней культурой русских и других славянских народов, таких как книги, магниты, футболки, кружки и другие предметы. 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8. Организация фестивалей и ярмарок: мы предлагаем организацию фестивалей и ярмарок, посвященных древней культуре русских и других славянских народов. Это могут быть большие мероприятия, на которых будут представлены продукты, символика, культурные мероприятия и другие интересные развлечения для всех возрастов.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</w:t>
      </w:r>
      <w:r>
        <w:rPr>
          <w:rFonts w:ascii="Times New Roman" w:hAnsi="Times New Roman"/>
          <w:sz w:val="28"/>
          <w:szCs w:val="28"/>
        </w:rPr>
        <w:t xml:space="preserve">Интернет-магазин: мы предлагаем возможность покупки продукции и символики древних </w:t>
      </w:r>
      <w:proofErr w:type="spellStart"/>
      <w:r>
        <w:rPr>
          <w:rFonts w:ascii="Times New Roman" w:hAnsi="Times New Roman"/>
          <w:sz w:val="28"/>
          <w:szCs w:val="28"/>
        </w:rPr>
        <w:t>русов</w:t>
      </w:r>
      <w:proofErr w:type="spellEnd"/>
      <w:r>
        <w:rPr>
          <w:rFonts w:ascii="Times New Roman" w:hAnsi="Times New Roman"/>
          <w:sz w:val="28"/>
          <w:szCs w:val="28"/>
        </w:rPr>
        <w:t xml:space="preserve"> через интернет-магазин нашего сайта. Это обеспечивает нашим клиентам удобство и возможность приобрести нужные товары из любой точки мира.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Профиль компании: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Компания PERUN - это торговая компания, специализирующаяся на продаже символики и продуктов, связанных с древней культурой русских и других славянских народов. Однако, помимо торговых операций, мы также предлагаем дополнительные услуги, связанные с нашим профилем, такие как организация фестивалей, интернет-магазин, услуги дизайна и реставрации. Поэтому можно сказать, что профиль компании PERUN - это торгово-</w:t>
      </w:r>
      <w:proofErr w:type="spellStart"/>
      <w:r>
        <w:rPr>
          <w:rFonts w:ascii="Times New Roman" w:hAnsi="Times New Roman" w:cs="Times New Roman"/>
          <w:sz w:val="28"/>
          <w:szCs w:val="28"/>
        </w:rPr>
        <w:t>услуговой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стадия развития бизнеса: 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магазин PERUN только открывается, то можно сказать, что стадия развития бизнеса на данный момент является стадией запуска (</w:t>
      </w:r>
      <w:proofErr w:type="spellStart"/>
      <w:r>
        <w:rPr>
          <w:rFonts w:ascii="Times New Roman" w:hAnsi="Times New Roman" w:cs="Times New Roman"/>
          <w:sz w:val="28"/>
          <w:szCs w:val="28"/>
        </w:rPr>
        <w:t>startup</w:t>
      </w:r>
      <w:proofErr w:type="spellEnd"/>
      <w:r>
        <w:rPr>
          <w:rFonts w:ascii="Times New Roman" w:hAnsi="Times New Roman" w:cs="Times New Roman"/>
          <w:sz w:val="28"/>
          <w:szCs w:val="28"/>
        </w:rPr>
        <w:t>). На данной стадии мы сосредоточены на создании базы клиентов, формировании ассортимента товаров, налаживании процессов продаж и маркетинга. Мы также будем строить нашу репутацию и бренд, чтобы привлечь больше клиентов и увеличить доходность компании. Однако, с течением времени, мы будем работать над расширением нашего бизнеса и увеличением нашей клиентской базы, что позволит нам перейти на следующие стадии развития, такие как стадия роста и стабилизации.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организационно-правовая форма: Организационно-правовая форма компании PERUN может быть различной в зависимости от местоположения и правовой системы, в которой она зарегистрирована. В большинстве стран, включая Россию, наиболее распространенными организационно-правовыми формами для торговых компаний являются ООО (Общество с ограниченной ответственностью) и ИП (Индивидуальный предприниматель).</w:t>
      </w:r>
    </w:p>
    <w:p w:rsidR="00762F06" w:rsidRDefault="009C1716">
      <w:pPr>
        <w:pStyle w:val="a4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ООО предполагает наличие нескольких учредителей, которые владеют частями компании и несут ответственность за ее деятельность в пределах своих долей. У ООО есть ограничения по количеству учредителей и дополнительным выплатам.</w:t>
      </w:r>
    </w:p>
    <w:p w:rsidR="00762F06" w:rsidRDefault="009C1716">
      <w:pPr>
        <w:pStyle w:val="a4"/>
        <w:ind w:left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ИП представляет собой более простую и дешевую форму регистрации для небольших компаний или для предпринимателей, которые работают самостоятельно. ИП имеет ограничения по масштабу и количеству работников.</w:t>
      </w:r>
    </w:p>
    <w:p w:rsidR="00762F06" w:rsidRDefault="009C1716" w:rsidP="00324086">
      <w:pPr>
        <w:pStyle w:val="a4"/>
        <w:ind w:left="1050"/>
      </w:pPr>
      <w:r>
        <w:rPr>
          <w:rFonts w:ascii="Times New Roman" w:hAnsi="Times New Roman"/>
          <w:sz w:val="28"/>
          <w:szCs w:val="28"/>
        </w:rPr>
        <w:t xml:space="preserve">Так как магазин только открывается рационально было выбрать </w:t>
      </w:r>
      <w:r w:rsidR="00324086">
        <w:rPr>
          <w:rFonts w:ascii="Times New Roman" w:hAnsi="Times New Roman"/>
          <w:sz w:val="28"/>
          <w:szCs w:val="28"/>
        </w:rPr>
        <w:t>форму ИП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 и как компания намерена предлагать: 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Компания PERUN специализируется на продаже символики и продуктов, связанных с древней культурой русских и других славянских народов. Мы предлагаем широкий ассортимент продуктов, включая:</w:t>
      </w:r>
    </w:p>
    <w:p w:rsidR="00762F06" w:rsidRDefault="009C1716">
      <w:pPr>
        <w:pStyle w:val="a4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Одежду и </w:t>
      </w:r>
      <w:proofErr w:type="gramStart"/>
      <w:r>
        <w:rPr>
          <w:rFonts w:ascii="Times New Roman" w:hAnsi="Times New Roman"/>
          <w:sz w:val="28"/>
          <w:szCs w:val="28"/>
        </w:rPr>
        <w:t>аксессуары с символикой славянских богов</w:t>
      </w:r>
      <w:proofErr w:type="gramEnd"/>
      <w:r>
        <w:rPr>
          <w:rFonts w:ascii="Times New Roman" w:hAnsi="Times New Roman"/>
          <w:sz w:val="28"/>
          <w:szCs w:val="28"/>
        </w:rPr>
        <w:t xml:space="preserve"> и героев;</w:t>
      </w:r>
    </w:p>
    <w:p w:rsidR="00762F06" w:rsidRPr="00B52537" w:rsidRDefault="009C1716" w:rsidP="00B52537">
      <w:pPr>
        <w:pStyle w:val="a4"/>
        <w:numPr>
          <w:ilvl w:val="0"/>
          <w:numId w:val="2"/>
        </w:numPr>
        <w:tabs>
          <w:tab w:val="clear" w:pos="709"/>
          <w:tab w:val="left" w:pos="0"/>
        </w:tabs>
        <w:spacing w:after="0"/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Интерьерные детали и украшения с элементами народных ремесел;</w:t>
      </w:r>
    </w:p>
    <w:p w:rsidR="00762F06" w:rsidRDefault="009C1716">
      <w:pPr>
        <w:pStyle w:val="a4"/>
        <w:numPr>
          <w:ilvl w:val="0"/>
          <w:numId w:val="2"/>
        </w:numPr>
        <w:tabs>
          <w:tab w:val="clear" w:pos="709"/>
          <w:tab w:val="left" w:pos="0"/>
        </w:tabs>
        <w:ind w:firstLine="85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Продукты питания и напитки, отражающие традиционную кухню древних славян.</w:t>
      </w:r>
    </w:p>
    <w:p w:rsidR="00762F06" w:rsidRDefault="009C1716">
      <w:pPr>
        <w:pStyle w:val="a4"/>
        <w:ind w:firstLine="1134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Мы также предлагаем дополнительные услуги, связанные с нашим профилем, такие как организация фестивалей. В перспективе, мы также планируем расширять свой ассортимент и добавлять новые товары, соответствующие нашей тематике.</w:t>
      </w:r>
    </w:p>
    <w:p w:rsidR="00762F06" w:rsidRDefault="009C1716">
      <w:pPr>
        <w:pStyle w:val="a4"/>
        <w:ind w:firstLine="1134"/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page">
              <wp:posOffset>0</wp:posOffset>
            </wp:positionH>
            <wp:positionV relativeFrom="line">
              <wp:posOffset>635</wp:posOffset>
            </wp:positionV>
            <wp:extent cx="14605" cy="14605"/>
            <wp:effectExtent l="0" t="0" r="0" b="0"/>
            <wp:wrapNone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link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>Кроме того, мы собираемся активно продвигать наш бренд и продукты через социальные сети, мероприятия и другие маркетинговые инструменты, чтобы привлечь больше клиентов и увеличить нашу клиентскую базу. Мы также будем обеспечивать высокий уровень обслуживания клиентов, чтобы сохранить лояльность и увеличить повторные покупки.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нынешние и перспективные географические рамки деятельности:</w:t>
      </w:r>
    </w:p>
    <w:p w:rsidR="00762F06" w:rsidRDefault="009C1716">
      <w:pPr>
        <w:pStyle w:val="a4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наш магазин PERUN находится в городе Минск, и мы ориентируемся на местных жителей и туристов, интересующихся славянской культурой. Однако, мы также имеем возможность доставлять наши товары в любую точку страны через наш интернет-магазин.</w:t>
      </w:r>
    </w:p>
    <w:p w:rsidR="00762F06" w:rsidRDefault="009C1716">
      <w:pPr>
        <w:pStyle w:val="a4"/>
        <w:ind w:left="1134"/>
      </w:pPr>
      <w:r>
        <w:rPr>
          <w:rFonts w:ascii="Times New Roman" w:hAnsi="Times New Roman"/>
          <w:sz w:val="28"/>
          <w:szCs w:val="28"/>
        </w:rPr>
        <w:t xml:space="preserve">В перспективе, мы планируем расширить нашу географическую деятельность, привлекая клиентов из других городов и стран. Для этого мы будем использовать различные маркетинговые и </w:t>
      </w:r>
      <w:r>
        <w:rPr>
          <w:rFonts w:ascii="Times New Roman" w:hAnsi="Times New Roman"/>
          <w:sz w:val="28"/>
          <w:szCs w:val="28"/>
        </w:rPr>
        <w:lastRenderedPageBreak/>
        <w:t>рекламные инструменты, такие как продвижение в социальных сетях, SEO-оптимизация сайта, участие в тематических мероприятиях и т.д. Мы также будем искать возможности для расширения нашего бизнеса за границу, если это будет соответствовать нашей стратегии развития и позволит нам увеличить нашу клиентскую базу.</w:t>
      </w:r>
    </w:p>
    <w:p w:rsidR="00762F06" w:rsidRDefault="009C1716">
      <w:pPr>
        <w:pStyle w:val="a7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показатели конкурентоспособности товара или услуги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отличие предприятия от других аналогичных: Наше предприятие PERUN имеет несколько отличий от других аналогичных магазинов, которые специализируются на продаже символики и продуктов, связанных с древними славянскими традициями: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Уникальный ассортимент товаров: мы предлагаем широкий выбор продуктов, которые трудно найти в других магазинах. Наша команда активно работает на привлечении поставщиков, которые предлагают оригинальную символику и подлинные продукты, связанные с древними славянскими традициями.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Качество товаров: мы строго следим за качеством всех продуктов, которые предлагаем в нашем магазине. Мы работаем только с надежными поставщиками и проверяем каждый товар перед его поставкой в магазин.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Удобство покупки: мы предлагаем своим клиентам удобный интернет-магазин с возможностью доставки товаров по всей стране. Также у нас есть физический магазин, который находится в удобном месте для посещения.</w:t>
      </w:r>
    </w:p>
    <w:p w:rsidR="00762F06" w:rsidRDefault="00762F0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Экспертность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области славянской культуры: наша команда состоит из специалистов, которые имеют глубокие знания в области древней славянской культуры. Мы можем предложить нашим клиентам квалифицированную помощь в выборе товаров и ответить на любые вопросы, связанные с древними славянскими традициями.</w:t>
      </w:r>
    </w:p>
    <w:p w:rsidR="00762F06" w:rsidRDefault="009C1716">
      <w:pPr>
        <w:pStyle w:val="a7"/>
        <w:ind w:left="11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отличия в совокупности делают наш магазин уникальным и позволяют нам предложить нашим клиентам продукты высокого качества, удобство покупки и экспертную помощь в выборе товаров, связанных с древней славянской культурой.</w:t>
      </w:r>
      <w:r>
        <w:br w:type="page"/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Описание продукции или услуг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физ</w:t>
      </w:r>
      <w:r w:rsidR="00EB3AB7">
        <w:rPr>
          <w:rFonts w:ascii="Times New Roman" w:hAnsi="Times New Roman" w:cs="Times New Roman"/>
          <w:sz w:val="28"/>
          <w:szCs w:val="28"/>
        </w:rPr>
        <w:t>ическое</w:t>
      </w:r>
      <w:r>
        <w:rPr>
          <w:rFonts w:ascii="Times New Roman" w:hAnsi="Times New Roman" w:cs="Times New Roman"/>
          <w:sz w:val="28"/>
          <w:szCs w:val="28"/>
        </w:rPr>
        <w:t xml:space="preserve"> описание продукции или услуги: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 магазин PERUN специализируется на продаже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славянских народов. В нашем ассортименте вы найдете широкий выбор товаров, включая:</w:t>
      </w:r>
    </w:p>
    <w:p w:rsidR="00762F06" w:rsidRDefault="00EB3AB7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9C1716">
        <w:rPr>
          <w:rFonts w:ascii="Times New Roman" w:hAnsi="Times New Roman" w:cs="Times New Roman"/>
          <w:sz w:val="28"/>
          <w:szCs w:val="28"/>
        </w:rPr>
        <w:t xml:space="preserve">Амулеты и талисманы: различные амулеты и талисманы с символикой славянской культуры, такие как Перун, Велес, </w:t>
      </w:r>
      <w:proofErr w:type="spellStart"/>
      <w:r w:rsidR="009C1716">
        <w:rPr>
          <w:rFonts w:ascii="Times New Roman" w:hAnsi="Times New Roman" w:cs="Times New Roman"/>
          <w:sz w:val="28"/>
          <w:szCs w:val="28"/>
        </w:rPr>
        <w:t>Сварог</w:t>
      </w:r>
      <w:proofErr w:type="spellEnd"/>
      <w:r w:rsidR="009C1716">
        <w:rPr>
          <w:rFonts w:ascii="Times New Roman" w:hAnsi="Times New Roman" w:cs="Times New Roman"/>
          <w:sz w:val="28"/>
          <w:szCs w:val="28"/>
        </w:rPr>
        <w:t xml:space="preserve"> и многие другие.</w:t>
      </w:r>
    </w:p>
    <w:p w:rsidR="00762F06" w:rsidRPr="00324086" w:rsidRDefault="00EB3AB7" w:rsidP="0032408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9C1716">
        <w:rPr>
          <w:rFonts w:ascii="Times New Roman" w:hAnsi="Times New Roman" w:cs="Times New Roman"/>
          <w:sz w:val="28"/>
          <w:szCs w:val="28"/>
        </w:rPr>
        <w:t xml:space="preserve">Одежда и аксессуары: футболки, рубашки, </w:t>
      </w:r>
      <w:proofErr w:type="spellStart"/>
      <w:r w:rsidR="009C1716">
        <w:rPr>
          <w:rFonts w:ascii="Times New Roman" w:hAnsi="Times New Roman" w:cs="Times New Roman"/>
          <w:sz w:val="28"/>
          <w:szCs w:val="28"/>
        </w:rPr>
        <w:t>свитшоты</w:t>
      </w:r>
      <w:proofErr w:type="spellEnd"/>
      <w:r w:rsidR="009C1716">
        <w:rPr>
          <w:rFonts w:ascii="Times New Roman" w:hAnsi="Times New Roman" w:cs="Times New Roman"/>
          <w:sz w:val="28"/>
          <w:szCs w:val="28"/>
        </w:rPr>
        <w:t>, браслеты, кольца и другие аксессуары с изображением символов славянской культуры.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EB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Интерьерные предметы: статуэтки</w:t>
      </w:r>
      <w:r w:rsidR="00324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другие предметы с символикой славянской культуры.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EB3AB7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Кулинарные товары: </w:t>
      </w:r>
      <w:r w:rsidR="00324086">
        <w:rPr>
          <w:rFonts w:ascii="Times New Roman" w:hAnsi="Times New Roman" w:cs="Times New Roman"/>
          <w:sz w:val="28"/>
          <w:szCs w:val="28"/>
        </w:rPr>
        <w:t>квас и окрошка.</w:t>
      </w:r>
    </w:p>
    <w:p w:rsidR="00762F06" w:rsidRDefault="009C1716">
      <w:pPr>
        <w:pStyle w:val="a7"/>
        <w:ind w:left="113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гарантируем качество всех наших товаров и предоставляем информацию об их происхождении и значениях символов, используемых на наших изделиях.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возможного использования</w:t>
      </w:r>
    </w:p>
    <w:p w:rsidR="009C1716" w:rsidRPr="009C1716" w:rsidRDefault="009C1716" w:rsidP="009C1716">
      <w:pPr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Наши продукты в основном представляют собой предметы одежды и украшения, поэтому 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привлекательные стороны продукции или услуги</w:t>
      </w:r>
    </w:p>
    <w:p w:rsidR="009C1716" w:rsidRPr="009C1716" w:rsidRDefault="009C1716" w:rsidP="009C1716">
      <w:pPr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Уникальный стиль различных аксессуаров в дизайне древнеславянской культуры.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новизна</w:t>
      </w:r>
    </w:p>
    <w:p w:rsidR="009C1716" w:rsidRPr="009C1716" w:rsidRDefault="009C1716" w:rsidP="009C1716">
      <w:pPr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Предлагаемый нами товар весьма недавно обрел спрос, поэтому новизну товара можно считать высокой. 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степень готовности к выходу на рынок</w:t>
      </w:r>
    </w:p>
    <w:p w:rsidR="00762F06" w:rsidRDefault="009C1716" w:rsidP="009C1716">
      <w:pPr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Товар полностью готов к выходу на рынок, поскольку закупается у проверенного поставщика из КНР.</w:t>
      </w:r>
      <w:r>
        <w:br w:type="page"/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Анализ рынка и маркетинговая стратегия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разъяснить как предполагаемый бизнес намеревается воздействовать на рынок и реагировать на обстановку на нём, чтобы обеспечить сбыт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маркетинговой стратегии для магазина PERUN - создание уникального имиджа бренда и установление его как лидера на рынке продуктов и символики древних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русов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Для достижения этой цели мы планируем: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Разработать стратегию ценообразования, которая позволит нам конкурировать с другими магазинами, предлагающими аналогичные товары. Мы предполагаем установить умеренные цены на нашу продукцию, чтобы привлечь больше клиентов.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Проанализировать рынок и разработать стратегию охвата рынка. Мы будем работать над расширением географии нашего присутствия на рынке, привлекая новых клиентов в регионы, где мы еще не представлены.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Выбрать наиболее эффективные методы и способы распространения нашей продукции. Мы будем использовать современные технологии, такие как интернет-магазины и социальные сети, чтобы достигнуть максимальной аудитории и обеспечить легкий доступ к нашей продукции.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Разработать стратегию стимулирования сбыта, например, предлагая скидки и акции на определенные продукты, чтобы привлечь больше клиентов и увеличить объем продаж.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Выбрать наиболее эффективные стратегии рекламы. Мы будем использовать различные каналы, такие как телевидение, радио, интернет и наружная реклама, чтобы достичь наших потенциальных клиентов. Мы также будем работать над созданием сильного имиджа бренда, используя уникальный дизайн упаковки, логотип и другие элементы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брендинга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Разработать стратегию ценообразования, прогноз цен, стратегия охвата рынка, выбор методы и способов распространения, стратегия стимулирования сбыта, выбрать стратегии рекламы: 4.1 </w:t>
      </w:r>
      <w:proofErr w:type="gramStart"/>
      <w:r>
        <w:rPr>
          <w:rFonts w:ascii="Times New Roman" w:hAnsi="Times New Roman" w:cs="Times New Roman"/>
          <w:sz w:val="28"/>
          <w:szCs w:val="28"/>
        </w:rPr>
        <w:t>1.Ценообразование</w:t>
      </w:r>
      <w:proofErr w:type="gramEnd"/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Стратегия ценообразования должна учитывать конкурентную среду и целевую аудиторию. Мы предлагаем установить цены, которые </w:t>
      </w:r>
      <w:r>
        <w:rPr>
          <w:rFonts w:ascii="Times New Roman" w:hAnsi="Times New Roman" w:cs="Times New Roman"/>
          <w:sz w:val="28"/>
          <w:szCs w:val="28"/>
        </w:rPr>
        <w:lastRenderedPageBreak/>
        <w:t>будут конкурентоспособными по отношению к аналогичным продуктам, но при этом позволят нам получать достаточную прибыль.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Прогноз цен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должны постоянно анализировать цены на наши товары и отслеживать изменения на рынке. Мы будем проводить регулярные исследования, чтобы понимать, как наш рынок функционирует и как изменения в экономике и индустрии могут повлиять на наш бизнес. Это позволит нам прогнозировать цены и принимать решения о ценообразовании на основе актуальной информации.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Стратегия охвата рынка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планируем охватить рынок через наш физический магазин, а также через интернет-магазин. Мы будем улучшать наши услуги и увеличивать ассортимент продукции, чтобы привлечь новых клиентов и удерживать уже существующих. Мы будем стремиться увеличить нашу долю на рынке, увеличивать нашу видимость и привлекать больше клиентов.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Методы и способы распространения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различные методы и способы распространения, включая рекламу в социальных сетях, поисковую оптимизацию, контекстную рекламу, рекламу на радио и в печатных изданиях, а также организацию мероприятий и партнерских программ. Мы также будем стремиться улучшить нашу логистику и обеспечить быструю и надежную доставку наших товаров.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Стратегия стимулирования сбыта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различные стратегии стимулирования сбыта, такие как скидки, акции, подарки и лояльность, чтобы привлечь и удержать клиентов. Мы также будем улучшать наши услуги и обеспечивать высокий уровень обслуживания, чтобы наши клиенты всегда оставались довольны.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Стратегии рекламы</w:t>
      </w: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будем использовать различные каналы рекламы, включая наружную рекламу, рекламу в местных СМИ, контекстную рекламу в Интернете, промо-акции и рассылки по электронной почте. Мы также будем активно использовать социальные сети для привлечения клиентов и продвижения нашего бренда.</w:t>
      </w:r>
      <w:r>
        <w:br w:type="page"/>
      </w:r>
    </w:p>
    <w:p w:rsidR="00762F06" w:rsidRPr="00790F6A" w:rsidRDefault="009C1716" w:rsidP="00790F6A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Производственный план</w:t>
      </w: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0064E0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</w:t>
      </w:r>
      <w:r w:rsidR="007562E7">
        <w:rPr>
          <w:rFonts w:ascii="Times New Roman" w:hAnsi="Times New Roman" w:cs="Times New Roman"/>
          <w:sz w:val="28"/>
          <w:szCs w:val="28"/>
        </w:rPr>
        <w:t>чет чистой прибыли</w:t>
      </w:r>
    </w:p>
    <w:tbl>
      <w:tblPr>
        <w:tblW w:w="949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4320"/>
        <w:gridCol w:w="2586"/>
        <w:gridCol w:w="2587"/>
      </w:tblGrid>
      <w:tr w:rsidR="002D6E4A" w:rsidRPr="002D6E4A" w:rsidTr="002D6E4A">
        <w:trPr>
          <w:trHeight w:val="300"/>
        </w:trPr>
        <w:tc>
          <w:tcPr>
            <w:tcW w:w="43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51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Годы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Выручка от реализации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459000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459000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Налоги, включаемые в выручку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151470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151470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Выручка без косвенных налогов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367200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367200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Себестоимость продукции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183600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183600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Прибыль от реализации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275400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275400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Прочая прибыль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Общая прибыль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124400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124400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Налоги из прибыли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11196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11196</w:t>
            </w:r>
          </w:p>
        </w:tc>
      </w:tr>
      <w:tr w:rsidR="002D6E4A" w:rsidRPr="002D6E4A" w:rsidTr="002D6E4A">
        <w:trPr>
          <w:trHeight w:val="300"/>
        </w:trPr>
        <w:tc>
          <w:tcPr>
            <w:tcW w:w="432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Чистая прибыль</w:t>
            </w:r>
          </w:p>
        </w:tc>
        <w:tc>
          <w:tcPr>
            <w:tcW w:w="2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113204</w:t>
            </w:r>
          </w:p>
        </w:tc>
        <w:tc>
          <w:tcPr>
            <w:tcW w:w="2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6E4A" w:rsidRPr="0041694A" w:rsidRDefault="002D6E4A" w:rsidP="002D6E4A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41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113204</w:t>
            </w:r>
          </w:p>
        </w:tc>
      </w:tr>
    </w:tbl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7562E7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баланса</w:t>
      </w:r>
    </w:p>
    <w:tbl>
      <w:tblPr>
        <w:tblW w:w="949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5524"/>
        <w:gridCol w:w="1984"/>
        <w:gridCol w:w="1985"/>
      </w:tblGrid>
      <w:tr w:rsidR="00EC3318" w:rsidRPr="00EC3318" w:rsidTr="00EC3318">
        <w:trPr>
          <w:trHeight w:val="300"/>
        </w:trPr>
        <w:tc>
          <w:tcPr>
            <w:tcW w:w="552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Статьи баланса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Годы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6550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Оборотные активы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183600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183600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АКТИВУ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190150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190150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Капитал и резервы (собственные средства)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уставный фонд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34000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нераспределенная прибыль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прочие источники собственных средств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D219E7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D219E7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Краткосрочные обязательства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Долгосрочные обязательства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EC3318" w:rsidRPr="00EC3318" w:rsidTr="00EC3318">
        <w:trPr>
          <w:trHeight w:val="300"/>
        </w:trPr>
        <w:tc>
          <w:tcPr>
            <w:tcW w:w="552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ПО ПАССИВУ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34000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EC3318" w:rsidRPr="00C837A4" w:rsidRDefault="00EC3318" w:rsidP="00EC3318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34000</w:t>
            </w:r>
          </w:p>
        </w:tc>
      </w:tr>
    </w:tbl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2B6F1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на производство</w:t>
      </w:r>
    </w:p>
    <w:tbl>
      <w:tblPr>
        <w:tblW w:w="9493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6520"/>
        <w:gridCol w:w="1486"/>
        <w:gridCol w:w="1487"/>
      </w:tblGrid>
      <w:tr w:rsidR="002B6F1F" w:rsidRPr="007562E7" w:rsidTr="009C1716">
        <w:trPr>
          <w:trHeight w:val="300"/>
        </w:trPr>
        <w:tc>
          <w:tcPr>
            <w:tcW w:w="65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Элементы затрат</w:t>
            </w:r>
          </w:p>
        </w:tc>
        <w:tc>
          <w:tcPr>
            <w:tcW w:w="29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Годы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Материальные затраты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6685,00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1337,00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Расходы на оплату труда и соц. нужды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88404,00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88404,00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Амортизация основных средств и нематериальных активов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5437,40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5437,40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Аренда помещения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50400,00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50400,00</w:t>
            </w:r>
          </w:p>
        </w:tc>
      </w:tr>
      <w:tr w:rsidR="002B6F1F" w:rsidRPr="007562E7" w:rsidTr="009C1716">
        <w:trPr>
          <w:trHeight w:val="300"/>
        </w:trPr>
        <w:tc>
          <w:tcPr>
            <w:tcW w:w="65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Всего затрат на производство и реализацию продукции</w:t>
            </w:r>
          </w:p>
        </w:tc>
        <w:tc>
          <w:tcPr>
            <w:tcW w:w="148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150926,40</w:t>
            </w:r>
          </w:p>
        </w:tc>
        <w:tc>
          <w:tcPr>
            <w:tcW w:w="148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C837A4" w:rsidRDefault="002B6F1F" w:rsidP="009C1716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145578,40</w:t>
            </w:r>
          </w:p>
        </w:tc>
      </w:tr>
    </w:tbl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A01705" w:rsidRDefault="00A01705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2B6F1F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Инвестиционный план</w:t>
      </w:r>
    </w:p>
    <w:tbl>
      <w:tblPr>
        <w:tblW w:w="9634" w:type="dxa"/>
        <w:tblInd w:w="113" w:type="dxa"/>
        <w:tblLook w:val="04A0" w:firstRow="1" w:lastRow="0" w:firstColumn="1" w:lastColumn="0" w:noHBand="0" w:noVBand="1"/>
      </w:tblPr>
      <w:tblGrid>
        <w:gridCol w:w="4920"/>
        <w:gridCol w:w="1738"/>
        <w:gridCol w:w="1417"/>
        <w:gridCol w:w="1559"/>
      </w:tblGrid>
      <w:tr w:rsidR="002B6F1F" w:rsidRPr="002B6F1F" w:rsidTr="002B6F1F">
        <w:trPr>
          <w:trHeight w:val="630"/>
        </w:trPr>
        <w:tc>
          <w:tcPr>
            <w:tcW w:w="4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7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Количество </w:t>
            </w: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единиц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ед., р.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Общая стоимость, р.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1. 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6F1F" w:rsidRPr="002B6F1F" w:rsidTr="002B6F1F">
        <w:trPr>
          <w:trHeight w:val="420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оборудование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Кассовый аппарат 3 в 1 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Apollo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NIGHT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для розлива SOUDEK 30/K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– другие 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внеоборотные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активы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 Славянский (САКС)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Стул из массива "СЛАВЯНСКИЙ-МАРФА"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Оборотные активы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готовая продукция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Кулон-оберег "Перун"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Кулон-оберег "Велес"</w:t>
            </w:r>
          </w:p>
        </w:tc>
        <w:tc>
          <w:tcPr>
            <w:tcW w:w="173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Кулон-оберег "Защита от ящеров"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Кулон-оберег "Славянское солнце"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1050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Перст "Ярило"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Перст "Радость 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Сварога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225,00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Рубаха "Витязь"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Рубаха "Богатырь"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Майка "Я РУССКИЙ"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Браслет "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Сварог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" 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Браслет "Одинокий волк"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Квас "Черный русский"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Окрошка "Настоящая"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Статуэтка Перуна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Статуэтка Велеса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Картина "Бой с ящерами"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6E6D61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Картина</w:t>
            </w:r>
            <w:r w:rsidR="002B6F1F"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"Три богатыря"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Часы настенные "Доброе утро, славяне"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прочие оборотные активы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3. Итого по </w:t>
            </w:r>
            <w:proofErr w:type="spellStart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 1 и 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Источники финансирования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собственные средства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15300,00</w:t>
            </w:r>
          </w:p>
        </w:tc>
      </w:tr>
      <w:tr w:rsidR="002B6F1F" w:rsidRPr="002B6F1F" w:rsidTr="002B6F1F">
        <w:trPr>
          <w:trHeight w:val="315"/>
        </w:trPr>
        <w:tc>
          <w:tcPr>
            <w:tcW w:w="49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– заемные и привлеченные средства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2B6F1F" w:rsidRPr="002B6F1F" w:rsidRDefault="002B6F1F" w:rsidP="002B6F1F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B6F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0,00</w:t>
            </w:r>
          </w:p>
        </w:tc>
      </w:tr>
    </w:tbl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A01705" w:rsidRDefault="00A01705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2B6F1F" w:rsidRDefault="002B6F1F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Расходы на оплату труда</w:t>
      </w:r>
    </w:p>
    <w:tbl>
      <w:tblPr>
        <w:tblW w:w="945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4"/>
        <w:gridCol w:w="2090"/>
        <w:gridCol w:w="1900"/>
        <w:gridCol w:w="1934"/>
      </w:tblGrid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Среднесписочная </w:t>
            </w: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численность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Среднемесячная</w:t>
            </w: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 зарплата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Годовые расходы на оплату </w:t>
            </w: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br/>
              <w:t xml:space="preserve"> труда</w:t>
            </w:r>
          </w:p>
        </w:tc>
      </w:tr>
      <w:tr w:rsidR="00F12E9F" w:rsidRPr="000064E0" w:rsidTr="002B6F1F">
        <w:trPr>
          <w:trHeight w:val="464"/>
        </w:trPr>
        <w:tc>
          <w:tcPr>
            <w:tcW w:w="3539" w:type="dxa"/>
            <w:shd w:val="clear" w:color="auto" w:fill="auto"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1. Персонал, занятый основной деятельностью, всего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63600,00</w:t>
            </w:r>
          </w:p>
        </w:tc>
      </w:tr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A32131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Продавец-консультант-кассир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600,00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21600,00</w:t>
            </w:r>
          </w:p>
        </w:tc>
      </w:tr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Финансист-бухгалтер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1500,00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18000,00</w:t>
            </w:r>
          </w:p>
        </w:tc>
      </w:tr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Директор-менеджер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2000,00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24000,00</w:t>
            </w:r>
          </w:p>
        </w:tc>
      </w:tr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Отчисления на социальные нужды, 39%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24804,00</w:t>
            </w:r>
          </w:p>
        </w:tc>
      </w:tr>
      <w:tr w:rsidR="00F12E9F" w:rsidRPr="000064E0" w:rsidTr="002B6F1F">
        <w:trPr>
          <w:trHeight w:val="206"/>
        </w:trPr>
        <w:tc>
          <w:tcPr>
            <w:tcW w:w="3539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Итого расходов на оплату труда</w:t>
            </w:r>
          </w:p>
        </w:tc>
        <w:tc>
          <w:tcPr>
            <w:tcW w:w="2092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</w:p>
        </w:tc>
        <w:tc>
          <w:tcPr>
            <w:tcW w:w="1891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 </w:t>
            </w:r>
          </w:p>
        </w:tc>
        <w:tc>
          <w:tcPr>
            <w:tcW w:w="1936" w:type="dxa"/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0"/>
                <w:lang w:eastAsia="ru-RU"/>
              </w:rPr>
              <w:t>88404,00</w:t>
            </w:r>
          </w:p>
        </w:tc>
      </w:tr>
    </w:tbl>
    <w:p w:rsidR="00762F06" w:rsidRDefault="00762F06">
      <w:pPr>
        <w:pStyle w:val="a7"/>
        <w:ind w:left="0"/>
        <w:jc w:val="both"/>
      </w:pPr>
    </w:p>
    <w:p w:rsidR="00762F06" w:rsidRDefault="009C1716">
      <w:pPr>
        <w:pStyle w:val="a7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 техническое снабжение</w:t>
      </w:r>
    </w:p>
    <w:tbl>
      <w:tblPr>
        <w:tblW w:w="9351" w:type="dxa"/>
        <w:tblInd w:w="113" w:type="dxa"/>
        <w:tblLook w:val="04A0" w:firstRow="1" w:lastRow="0" w:firstColumn="1" w:lastColumn="0" w:noHBand="0" w:noVBand="1"/>
      </w:tblPr>
      <w:tblGrid>
        <w:gridCol w:w="4804"/>
        <w:gridCol w:w="1633"/>
        <w:gridCol w:w="1748"/>
        <w:gridCol w:w="1273"/>
      </w:tblGrid>
      <w:tr w:rsidR="000064E0" w:rsidRPr="000064E0" w:rsidTr="00A01705">
        <w:trPr>
          <w:trHeight w:val="315"/>
        </w:trPr>
        <w:tc>
          <w:tcPr>
            <w:tcW w:w="5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7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за ед., р.</w:t>
            </w:r>
          </w:p>
        </w:tc>
        <w:tc>
          <w:tcPr>
            <w:tcW w:w="18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Количество, штук</w:t>
            </w:r>
          </w:p>
        </w:tc>
        <w:tc>
          <w:tcPr>
            <w:tcW w:w="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Стоимость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Кассовый аппарат 3 в 1 </w:t>
            </w:r>
            <w:proofErr w:type="spellStart"/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Apollo</w:t>
            </w:r>
            <w:proofErr w:type="spellEnd"/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NIGHT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700,00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Оборудование для розлива SOUDEK 30/K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за оборудование: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3700,00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Фурнитура в зале: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Стол Славянский (САКС)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450,00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Стул из массива "СЛАВЯНСКИЙ-МАРФА"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1500,00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Итого за фурнитуру:  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2850,00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Посуда: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Дубовая кружка М70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Дубовая чашка M20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35,00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 за посуду: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135,00</w:t>
            </w:r>
          </w:p>
        </w:tc>
      </w:tr>
      <w:tr w:rsidR="000064E0" w:rsidRPr="000064E0" w:rsidTr="00A01705">
        <w:trPr>
          <w:trHeight w:val="300"/>
        </w:trPr>
        <w:tc>
          <w:tcPr>
            <w:tcW w:w="502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064E0" w:rsidRPr="00C837A4" w:rsidRDefault="000064E0" w:rsidP="000064E0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0064E0" w:rsidRPr="00C837A4" w:rsidRDefault="000064E0" w:rsidP="00341994">
            <w:pPr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C837A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6685,00</w:t>
            </w:r>
          </w:p>
        </w:tc>
      </w:tr>
    </w:tbl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762F0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ind w:left="1140"/>
        <w:jc w:val="both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График выполнения работ (календарный план)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Примерный график выполнения работ для проекта открытия магазина PERUN:</w:t>
      </w:r>
    </w:p>
    <w:p w:rsidR="00762F06" w:rsidRDefault="00762F0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1: Подготовительные работы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Разработка бизнес-плана и согласование с инвесторами - 2 месяца 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Регистрация компании и получение всех необходимых документов - 1 месяц</w:t>
      </w:r>
    </w:p>
    <w:p w:rsidR="00762F06" w:rsidRDefault="00762F0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2: Поиск помещения и оборудование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и аренда торгового помещения - 1 месяц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Ремонт помещения - 2 месяца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Приобретение оборудования и товара на продажу - 1 месяц </w:t>
      </w:r>
    </w:p>
    <w:p w:rsidR="005D3490" w:rsidRDefault="005D3490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3: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 и подготовка к открытию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Поиск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 - 1 месяц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Обучение персонала - 1 месяц</w:t>
      </w:r>
    </w:p>
    <w:p w:rsidR="00762F06" w:rsidRDefault="00762F0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4: Открытие магазина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 рекламной кампании - 2 недели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магазина - 1 день</w:t>
      </w:r>
    </w:p>
    <w:p w:rsidR="00762F06" w:rsidRDefault="00762F0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Итого: около 8 месяцев на выполнение всех работ.</w:t>
      </w:r>
    </w:p>
    <w:p w:rsidR="00762F06" w:rsidRDefault="00762F0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Планирование временных рамок работ на каждом этапе: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Подготовительные работы: 3 месяца (с апреля по июнь)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помещения и оборудование: 4 месяца (с июня по сентябрь)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Найм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персонала и подготовка к открытию: 2 месяца (с сентября по ноябрь)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Открытие магазина: декабрь.</w:t>
      </w:r>
    </w:p>
    <w:p w:rsidR="00762F06" w:rsidRDefault="009C1716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>
        <w:br w:type="page"/>
      </w:r>
    </w:p>
    <w:p w:rsidR="00762F06" w:rsidRDefault="009C1716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Оценка рисков</w:t>
      </w:r>
    </w:p>
    <w:p w:rsidR="00762F06" w:rsidRDefault="009C1716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этом разделе требуется оценить какие риски наиболее вероятны для проекта и во что они могут обойтись в случае их реализации. После оценки рисков разработать план из двух частей: </w:t>
      </w:r>
    </w:p>
    <w:p w:rsidR="00762F06" w:rsidRDefault="009C1716">
      <w:pPr>
        <w:pStyle w:val="a7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мер по профилактике рисков</w:t>
      </w:r>
    </w:p>
    <w:p w:rsidR="00762F06" w:rsidRDefault="009C1716">
      <w:pPr>
        <w:pStyle w:val="a7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составление плана самострахования или внешнего.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Потенциальные риски для компании PERUN могут включать в себя: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Конкуренция: на рынке может появиться конкурент, который будет предлагать аналогичные продукты или услуги, что может снизить спрос на товары и услуги PERUN и уменьшить его прибыль.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Изменения в экономике: экономические кризисы, инфляция, девальвация национальной валюты могут повлиять на спрос на продукты PERUN и на их ценообразование.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Нарушения в поставках: нарушения в поставках от поставщиков или проблемы в логистике могут привести к отсутствию товара на складе PERUN, что может привести к утрате клиентов.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Изменения в правительственных политиках: изменения в правительственных политиках, налоговых ставках, тарифах и других регулирующих мероприятиях могут повлиять на финансовые результаты компании.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Технические сбои: технические сбои или нарушения в информационной безопасности могут привести к потере ценных данных о клиентах, заказах и финансовых транзакциях.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снижения рисков и предотвращения их реализации, компания PERUN может принять следующие меры: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Диверсификация: расширение ассортимента товаров и услуг для уменьшения рисков зависимости от определенных продуктов или услуг.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Улучшение управления поставками и логистики: установка процедур, чтобы гарантировать своевременную доставку товаров в магазин.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Развитие новых каналов продаж: создание онлайн-магазина или использование социальных сетей для расширения клиентской базы.</w:t>
      </w: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Регулярное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анализирование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финансовых и рыночных данных: проведение анализа тенденций на рынке и анализ финансовых показателей для определения оптимальных стратегий продаж и ценообразования.</w:t>
      </w:r>
    </w:p>
    <w:p w:rsidR="00762F06" w:rsidRDefault="00762F06">
      <w:pPr>
        <w:rPr>
          <w:rFonts w:ascii="Times New Roman" w:hAnsi="Times New Roman" w:cs="Times New Roman"/>
          <w:sz w:val="28"/>
          <w:szCs w:val="28"/>
        </w:rPr>
      </w:pPr>
    </w:p>
    <w:p w:rsidR="00762F06" w:rsidRDefault="009C17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Инвестирование в информационную безопасность: использование современных технологий для защиты информации о клиентах, заказах и финансовых транзакциях.</w:t>
      </w:r>
    </w:p>
    <w:p w:rsidR="00762F06" w:rsidRDefault="00762F06">
      <w:pPr>
        <w:rPr>
          <w:rFonts w:ascii="Times New Roman" w:hAnsi="Times New Roman" w:cs="Times New Roman"/>
          <w:sz w:val="28"/>
          <w:szCs w:val="28"/>
        </w:rPr>
      </w:pPr>
    </w:p>
    <w:p w:rsidR="00762F06" w:rsidRDefault="009C1716" w:rsidP="0034199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защиты от некоторых рисков, PERUN может использовать самострахование или обратиться к страховой</w:t>
      </w:r>
    </w:p>
    <w:sectPr w:rsidR="00762F0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B6047"/>
    <w:multiLevelType w:val="multilevel"/>
    <w:tmpl w:val="9C56FF0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2831A8"/>
    <w:multiLevelType w:val="hybridMultilevel"/>
    <w:tmpl w:val="655865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14752"/>
    <w:multiLevelType w:val="multilevel"/>
    <w:tmpl w:val="E75A2FB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140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400" w:hanging="2160"/>
      </w:pPr>
    </w:lvl>
  </w:abstractNum>
  <w:abstractNum w:abstractNumId="3" w15:restartNumberingAfterBreak="0">
    <w:nsid w:val="59BC457F"/>
    <w:multiLevelType w:val="multilevel"/>
    <w:tmpl w:val="C5F4DDD6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762F06"/>
    <w:rsid w:val="000064E0"/>
    <w:rsid w:val="00087A05"/>
    <w:rsid w:val="002B6F1F"/>
    <w:rsid w:val="002D6E4A"/>
    <w:rsid w:val="003014EB"/>
    <w:rsid w:val="00324086"/>
    <w:rsid w:val="00341994"/>
    <w:rsid w:val="0034660C"/>
    <w:rsid w:val="0041694A"/>
    <w:rsid w:val="005D2488"/>
    <w:rsid w:val="005D3490"/>
    <w:rsid w:val="006E6D61"/>
    <w:rsid w:val="007562E7"/>
    <w:rsid w:val="00762F06"/>
    <w:rsid w:val="00790F6A"/>
    <w:rsid w:val="007B32CB"/>
    <w:rsid w:val="008420B9"/>
    <w:rsid w:val="009C1716"/>
    <w:rsid w:val="00A01705"/>
    <w:rsid w:val="00A32131"/>
    <w:rsid w:val="00A64B8C"/>
    <w:rsid w:val="00AA7647"/>
    <w:rsid w:val="00B52537"/>
    <w:rsid w:val="00BC236E"/>
    <w:rsid w:val="00C837A4"/>
    <w:rsid w:val="00D219E7"/>
    <w:rsid w:val="00D50E58"/>
    <w:rsid w:val="00D97088"/>
    <w:rsid w:val="00EB3AB7"/>
    <w:rsid w:val="00EC3318"/>
    <w:rsid w:val="00F12E9F"/>
    <w:rsid w:val="00FD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5D186"/>
  <w15:docId w15:val="{CE0E13EC-5008-4CBE-A0FC-8DD76B64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D074D0"/>
    <w:rPr>
      <w:color w:val="80808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812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08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s://chat.openai.com/_next/image?url=https%3A%2F%2Fs.gravatar.com%2Favatar%2Fdde9d5cd3725c47fe0966b0ca7a93800%3Fs%3D480%26r%3Dpg%26d%3Dhttps%253A%252F%252Fcdn.auth0.com%252Favatars%252Fss.png&amp;w=96&amp;q=7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9B6AD-5BE4-4DF1-A7BD-DFC987832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560</TotalTime>
  <Pages>16</Pages>
  <Words>3333</Words>
  <Characters>19000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Антохов</dc:creator>
  <dc:description/>
  <cp:lastModifiedBy>Дима PC</cp:lastModifiedBy>
  <cp:revision>37</cp:revision>
  <cp:lastPrinted>2023-05-05T09:45:00Z</cp:lastPrinted>
  <dcterms:created xsi:type="dcterms:W3CDTF">2023-04-27T16:05:00Z</dcterms:created>
  <dcterms:modified xsi:type="dcterms:W3CDTF">2023-05-05T10:00:00Z</dcterms:modified>
  <dc:language>ru-RU</dc:language>
</cp:coreProperties>
</file>