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Algemene Asset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Asher’s wapen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Stephan’s wapen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Joppe’s wapen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Ramon’s wapen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Algemene Asset lijst Bedrijf: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Bureaustoel</w:t>
        <w:tab/>
        <w:tab/>
        <w:t xml:space="preserve">Laptop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Aanrecht</w:t>
        <w:tab/>
        <w:tab/>
        <w:t xml:space="preserve">Watertank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</w:t>
        <w:tab/>
        <w:tab/>
        <w:tab/>
        <w:t xml:space="preserve">keyboard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Bureau</w:t>
        <w:tab/>
        <w:tab/>
        <w:tab/>
        <w:t xml:space="preserve">Kamerplant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</w:t>
        <w:tab/>
        <w:tab/>
        <w:t xml:space="preserve">Monitor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muis</w:t>
        <w:tab/>
        <w:tab/>
        <w:tab/>
        <w:t xml:space="preserve">Projectiebord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Vergadertafel 5x2</w:t>
        <w:tab/>
        <w:t xml:space="preserve">bureaulamp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Desktelefoon</w:t>
        <w:tab/>
        <w:tab/>
        <w:t xml:space="preserve">Fancy Desk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draaideur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Asher’s persoonlijke asset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Watertank-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Monitor-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Laptop-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keyboard-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Fancy desk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projectiebord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Stephan’s persoonlijke asset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Bureaustoel-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muis-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bureaulamp-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desktelefoon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Joppe’s persoonlijke asset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Aanrecht-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Ramon’s persoonlijke asset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Bureau-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Kamerplant-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Draaideur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