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 of interests</w:t>
      </w:r>
    </w:p>
    <w:p>
      <w:r>
        <w:rPr>
          <w:b/>
        </w:rPr>
        <w:t xml:space="preserve">Manuscript title: </w:t>
      </w:r>
      <w:r>
        <w:t>PLECTA: Overlap-aware instance segmentation of dense strand networks from binary masks</w:t>
      </w:r>
    </w:p>
    <w:p>
      <w:r>
        <w:rPr>
          <w:b/>
        </w:rPr>
        <w:t xml:space="preserve">Authors: </w:t>
      </w:r>
      <w:r>
        <w:t>Oday Allan, Igor Ostanin</w:t>
      </w:r>
    </w:p>
    <w:p>
      <w:r>
        <w:t>☒ The authors declare that they have no known competing financial interests or personal relationships that could have appeared to influence the work reported in this paper.</w:t>
      </w:r>
    </w:p>
    <w:p>
      <w:r>
        <w:t>☐ The authors declare the following financial interests/personal relationships which may be considered as potential competing interests: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