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E7" w:rsidRDefault="007414E7" w:rsidP="007414E7">
      <w:pPr>
        <w:spacing w:after="0" w:line="300" w:lineRule="auto"/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7414E7">
        <w:rPr>
          <w:b/>
          <w:sz w:val="32"/>
          <w:szCs w:val="32"/>
          <w:lang w:val="en-US"/>
        </w:rPr>
        <w:t xml:space="preserve">How are cross-validated decoding </w:t>
      </w:r>
      <w:proofErr w:type="gramStart"/>
      <w:r>
        <w:rPr>
          <w:b/>
          <w:sz w:val="32"/>
          <w:szCs w:val="32"/>
          <w:lang w:val="en-US"/>
        </w:rPr>
        <w:t>accuracies</w:t>
      </w:r>
      <w:proofErr w:type="gramEnd"/>
    </w:p>
    <w:p w:rsidR="00126131" w:rsidRDefault="007414E7" w:rsidP="007414E7">
      <w:pPr>
        <w:spacing w:after="0" w:line="300" w:lineRule="auto"/>
        <w:jc w:val="center"/>
        <w:rPr>
          <w:b/>
          <w:sz w:val="32"/>
          <w:szCs w:val="32"/>
          <w:lang w:val="en-US"/>
        </w:rPr>
      </w:pPr>
      <w:proofErr w:type="gramStart"/>
      <w:r w:rsidRPr="007414E7">
        <w:rPr>
          <w:b/>
          <w:sz w:val="32"/>
          <w:szCs w:val="32"/>
          <w:lang w:val="en-US"/>
        </w:rPr>
        <w:t>distributed</w:t>
      </w:r>
      <w:proofErr w:type="gramEnd"/>
      <w:r w:rsidRPr="007414E7">
        <w:rPr>
          <w:b/>
          <w:sz w:val="32"/>
          <w:szCs w:val="32"/>
          <w:lang w:val="en-US"/>
        </w:rPr>
        <w:t xml:space="preserve"> across subjects?</w:t>
      </w:r>
    </w:p>
    <w:p w:rsidR="00316B4F" w:rsidRPr="00F9210C" w:rsidRDefault="00316B4F" w:rsidP="001F6288">
      <w:pPr>
        <w:spacing w:after="0" w:line="360" w:lineRule="auto"/>
        <w:jc w:val="center"/>
        <w:rPr>
          <w:sz w:val="6"/>
          <w:szCs w:val="6"/>
          <w:lang w:val="en-US"/>
        </w:rPr>
      </w:pPr>
    </w:p>
    <w:p w:rsidR="00316B4F" w:rsidRDefault="00316B4F" w:rsidP="00316B4F">
      <w:pPr>
        <w:spacing w:after="0" w:line="360" w:lineRule="auto"/>
        <w:jc w:val="center"/>
        <w:rPr>
          <w:sz w:val="28"/>
          <w:szCs w:val="28"/>
          <w:vertAlign w:val="superscript"/>
          <w:lang w:val="en-US"/>
        </w:rPr>
      </w:pPr>
      <w:r w:rsidRPr="00C673DC">
        <w:rPr>
          <w:sz w:val="28"/>
          <w:szCs w:val="28"/>
          <w:lang w:val="en-US"/>
        </w:rPr>
        <w:t xml:space="preserve">Joram Soch </w:t>
      </w:r>
      <w:r>
        <w:rPr>
          <w:sz w:val="28"/>
          <w:szCs w:val="28"/>
          <w:vertAlign w:val="superscript"/>
          <w:lang w:val="en-US"/>
        </w:rPr>
        <w:t>1</w:t>
      </w:r>
      <w:proofErr w:type="gramStart"/>
      <w:r>
        <w:rPr>
          <w:sz w:val="28"/>
          <w:szCs w:val="28"/>
          <w:vertAlign w:val="superscript"/>
          <w:lang w:val="en-US"/>
        </w:rPr>
        <w:t>,2</w:t>
      </w:r>
      <w:proofErr w:type="gramEnd"/>
      <w:r w:rsidR="001F6288" w:rsidRPr="001F6288">
        <w:rPr>
          <w:sz w:val="28"/>
          <w:szCs w:val="28"/>
          <w:lang w:val="en-US"/>
        </w:rPr>
        <w:t xml:space="preserve">, </w:t>
      </w:r>
      <w:r w:rsidR="001F6288">
        <w:rPr>
          <w:sz w:val="28"/>
          <w:szCs w:val="28"/>
          <w:lang w:val="en-US"/>
        </w:rPr>
        <w:t>John-Dylan Haynes</w:t>
      </w:r>
      <w:r w:rsidR="001F6288" w:rsidRPr="00C673DC">
        <w:rPr>
          <w:sz w:val="28"/>
          <w:szCs w:val="28"/>
          <w:lang w:val="en-US"/>
        </w:rPr>
        <w:t xml:space="preserve"> </w:t>
      </w:r>
      <w:r w:rsidR="001F6288">
        <w:rPr>
          <w:sz w:val="28"/>
          <w:szCs w:val="28"/>
          <w:vertAlign w:val="superscript"/>
          <w:lang w:val="en-US"/>
        </w:rPr>
        <w:t>1-8</w:t>
      </w:r>
    </w:p>
    <w:p w:rsidR="001F6288" w:rsidRPr="00F9210C" w:rsidRDefault="001F6288" w:rsidP="00316B4F">
      <w:pPr>
        <w:spacing w:after="0" w:line="360" w:lineRule="auto"/>
        <w:jc w:val="center"/>
        <w:rPr>
          <w:sz w:val="6"/>
          <w:szCs w:val="6"/>
          <w:lang w:val="en-US"/>
        </w:rPr>
      </w:pPr>
    </w:p>
    <w:p w:rsidR="00316B4F" w:rsidRPr="00C673DC" w:rsidRDefault="00316B4F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C673DC">
        <w:rPr>
          <w:sz w:val="24"/>
          <w:szCs w:val="24"/>
          <w:vertAlign w:val="superscript"/>
          <w:lang w:val="en-US"/>
        </w:rPr>
        <w:t>1</w:t>
      </w:r>
      <w:r w:rsidRPr="00C673DC">
        <w:rPr>
          <w:sz w:val="24"/>
          <w:szCs w:val="24"/>
          <w:lang w:val="en-US"/>
        </w:rPr>
        <w:t xml:space="preserve"> Bernstein Center for Computational Neuroscience, Berlin, Germany</w:t>
      </w:r>
    </w:p>
    <w:p w:rsidR="00316B4F" w:rsidRDefault="00316B4F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7541DC">
        <w:rPr>
          <w:sz w:val="24"/>
          <w:szCs w:val="24"/>
          <w:vertAlign w:val="superscript"/>
          <w:lang w:val="en-US"/>
        </w:rPr>
        <w:t>2</w:t>
      </w:r>
      <w:r w:rsidRPr="007541DC">
        <w:rPr>
          <w:sz w:val="24"/>
          <w:szCs w:val="24"/>
          <w:lang w:val="en-US"/>
        </w:rPr>
        <w:t xml:space="preserve"> Berlin Center for Advanced Neuroimaging,</w:t>
      </w:r>
      <w:r>
        <w:rPr>
          <w:sz w:val="24"/>
          <w:szCs w:val="24"/>
          <w:lang w:val="en-US"/>
        </w:rPr>
        <w:t xml:space="preserve"> </w:t>
      </w:r>
      <w:r w:rsidRPr="007541DC">
        <w:rPr>
          <w:sz w:val="24"/>
          <w:szCs w:val="24"/>
          <w:lang w:val="en-US"/>
        </w:rPr>
        <w:t>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3</w:t>
      </w:r>
      <w:r w:rsidRPr="007541DC">
        <w:rPr>
          <w:sz w:val="24"/>
          <w:szCs w:val="24"/>
          <w:lang w:val="en-US"/>
        </w:rPr>
        <w:t xml:space="preserve"> Berlin </w:t>
      </w:r>
      <w:r>
        <w:rPr>
          <w:sz w:val="24"/>
          <w:szCs w:val="24"/>
          <w:lang w:val="en-US"/>
        </w:rPr>
        <w:t>School of Mind and Brain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7541DC">
        <w:rPr>
          <w:sz w:val="24"/>
          <w:szCs w:val="24"/>
          <w:lang w:val="en-US"/>
        </w:rPr>
        <w:t>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4</w:t>
      </w:r>
      <w:r w:rsidRPr="007541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Clinic for Neurology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Pr="007541DC">
        <w:rPr>
          <w:sz w:val="24"/>
          <w:szCs w:val="24"/>
          <w:lang w:val="en-US"/>
        </w:rPr>
        <w:t>Charité</w:t>
      </w:r>
      <w:r w:rsidR="00E7103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Universitätsmedizin</w:t>
      </w:r>
      <w:proofErr w:type="spellEnd"/>
      <w:r w:rsidRPr="007541DC">
        <w:rPr>
          <w:sz w:val="24"/>
          <w:szCs w:val="24"/>
          <w:lang w:val="en-US"/>
        </w:rPr>
        <w:t xml:space="preserve"> Berlin, Germany</w:t>
      </w:r>
    </w:p>
    <w:p w:rsidR="001F6288" w:rsidRP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5</w:t>
      </w:r>
      <w:r w:rsidRPr="001F6288">
        <w:rPr>
          <w:sz w:val="24"/>
          <w:szCs w:val="24"/>
          <w:lang w:val="en-US"/>
        </w:rPr>
        <w:t xml:space="preserve"> Department of Psychology, </w:t>
      </w:r>
      <w:r>
        <w:rPr>
          <w:sz w:val="24"/>
          <w:szCs w:val="24"/>
          <w:lang w:val="en-US"/>
        </w:rPr>
        <w:t>Humboldt-</w:t>
      </w:r>
      <w:proofErr w:type="spellStart"/>
      <w:r>
        <w:rPr>
          <w:sz w:val="24"/>
          <w:szCs w:val="24"/>
          <w:lang w:val="en-US"/>
        </w:rPr>
        <w:t>Universität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zu</w:t>
      </w:r>
      <w:proofErr w:type="spellEnd"/>
      <w:r w:rsidRPr="007541DC">
        <w:rPr>
          <w:sz w:val="24"/>
          <w:szCs w:val="24"/>
          <w:lang w:val="en-US"/>
        </w:rPr>
        <w:t xml:space="preserve"> Berlin, </w:t>
      </w:r>
      <w:r w:rsidRPr="001F6288">
        <w:rPr>
          <w:sz w:val="24"/>
          <w:szCs w:val="24"/>
          <w:lang w:val="en-US"/>
        </w:rPr>
        <w:t>Germany</w:t>
      </w:r>
    </w:p>
    <w:p w:rsidR="001F6288" w:rsidRPr="008F29CF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8F29CF">
        <w:rPr>
          <w:sz w:val="24"/>
          <w:szCs w:val="24"/>
          <w:vertAlign w:val="superscript"/>
          <w:lang w:val="en-US"/>
        </w:rPr>
        <w:t>6</w:t>
      </w:r>
      <w:r w:rsidRPr="008F29CF">
        <w:rPr>
          <w:sz w:val="24"/>
          <w:szCs w:val="24"/>
          <w:lang w:val="en-US"/>
        </w:rPr>
        <w:t xml:space="preserve"> EXC </w:t>
      </w:r>
      <w:proofErr w:type="spellStart"/>
      <w:r w:rsidRPr="008F29CF">
        <w:rPr>
          <w:sz w:val="24"/>
          <w:szCs w:val="24"/>
          <w:lang w:val="en-US"/>
        </w:rPr>
        <w:t>NeuroCure</w:t>
      </w:r>
      <w:proofErr w:type="spellEnd"/>
      <w:r w:rsidRPr="008F29CF">
        <w:rPr>
          <w:sz w:val="24"/>
          <w:szCs w:val="24"/>
          <w:lang w:val="en-US"/>
        </w:rPr>
        <w:t xml:space="preserve">, </w:t>
      </w:r>
      <w:proofErr w:type="spellStart"/>
      <w:r w:rsidRPr="008F29CF">
        <w:rPr>
          <w:sz w:val="24"/>
          <w:szCs w:val="24"/>
          <w:lang w:val="en-US"/>
        </w:rPr>
        <w:t>Charité</w:t>
      </w:r>
      <w:r w:rsidR="00E7103B" w:rsidRPr="008F29CF">
        <w:rPr>
          <w:sz w:val="24"/>
          <w:szCs w:val="24"/>
          <w:lang w:val="en-US"/>
        </w:rPr>
        <w:t>-</w:t>
      </w:r>
      <w:r w:rsidRPr="008F29CF">
        <w:rPr>
          <w:sz w:val="24"/>
          <w:szCs w:val="24"/>
          <w:lang w:val="en-US"/>
        </w:rPr>
        <w:t>Universitätsmedizin</w:t>
      </w:r>
      <w:proofErr w:type="spellEnd"/>
      <w:r w:rsidRPr="008F29CF">
        <w:rPr>
          <w:sz w:val="24"/>
          <w:szCs w:val="24"/>
          <w:lang w:val="en-US"/>
        </w:rPr>
        <w:t xml:space="preserve"> Berlin, Germany</w:t>
      </w:r>
    </w:p>
    <w:p w:rsid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sz w:val="24"/>
          <w:szCs w:val="24"/>
          <w:vertAlign w:val="superscript"/>
          <w:lang w:val="en-US"/>
        </w:rPr>
        <w:t>7</w:t>
      </w:r>
      <w:r w:rsidRPr="007541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EXC Science of Intelligence</w:t>
      </w:r>
      <w:r w:rsidRPr="007541D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Technische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Universität</w:t>
      </w:r>
      <w:proofErr w:type="spellEnd"/>
      <w:r w:rsidRPr="007541DC">
        <w:rPr>
          <w:sz w:val="24"/>
          <w:szCs w:val="24"/>
          <w:lang w:val="en-US"/>
        </w:rPr>
        <w:t xml:space="preserve"> Berlin, Germany</w:t>
      </w:r>
    </w:p>
    <w:p w:rsidR="001F6288" w:rsidRPr="001F6288" w:rsidRDefault="001F6288" w:rsidP="00BA765B">
      <w:pPr>
        <w:spacing w:after="0" w:line="240" w:lineRule="auto"/>
        <w:ind w:left="1134"/>
        <w:rPr>
          <w:sz w:val="24"/>
          <w:szCs w:val="24"/>
          <w:lang w:val="en-US"/>
        </w:rPr>
      </w:pPr>
      <w:r w:rsidRPr="001F6288">
        <w:rPr>
          <w:sz w:val="24"/>
          <w:szCs w:val="24"/>
          <w:vertAlign w:val="superscript"/>
          <w:lang w:val="en-US"/>
        </w:rPr>
        <w:t>8</w:t>
      </w:r>
      <w:r w:rsidRPr="001F62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CRC</w:t>
      </w:r>
      <w:r w:rsidRPr="001F6288">
        <w:rPr>
          <w:sz w:val="24"/>
          <w:szCs w:val="24"/>
          <w:lang w:val="en-US"/>
        </w:rPr>
        <w:t xml:space="preserve"> Volition and Cognitive Control, </w:t>
      </w:r>
      <w:proofErr w:type="spellStart"/>
      <w:r w:rsidRPr="001F6288">
        <w:rPr>
          <w:sz w:val="24"/>
          <w:szCs w:val="24"/>
          <w:lang w:val="en-US"/>
        </w:rPr>
        <w:t>Technische</w:t>
      </w:r>
      <w:proofErr w:type="spellEnd"/>
      <w:r w:rsidRPr="001F6288">
        <w:rPr>
          <w:sz w:val="24"/>
          <w:szCs w:val="24"/>
          <w:lang w:val="en-US"/>
        </w:rPr>
        <w:t xml:space="preserve"> </w:t>
      </w:r>
      <w:proofErr w:type="spellStart"/>
      <w:r w:rsidRPr="001F6288">
        <w:rPr>
          <w:sz w:val="24"/>
          <w:szCs w:val="24"/>
          <w:lang w:val="en-US"/>
        </w:rPr>
        <w:t>Universität</w:t>
      </w:r>
      <w:proofErr w:type="spellEnd"/>
      <w:r w:rsidRPr="001F6288">
        <w:rPr>
          <w:sz w:val="24"/>
          <w:szCs w:val="24"/>
          <w:lang w:val="en-US"/>
        </w:rPr>
        <w:t xml:space="preserve"> Dresden, Germany</w:t>
      </w:r>
    </w:p>
    <w:p w:rsidR="00316B4F" w:rsidRPr="00F9210C" w:rsidRDefault="00316B4F" w:rsidP="00316B4F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316B4F" w:rsidRDefault="00316B4F" w:rsidP="00316B4F">
      <w:pPr>
        <w:spacing w:after="0" w:line="360" w:lineRule="auto"/>
        <w:jc w:val="both"/>
        <w:rPr>
          <w:sz w:val="24"/>
          <w:szCs w:val="24"/>
          <w:lang w:val="en-US"/>
        </w:rPr>
      </w:pPr>
      <w:r w:rsidRPr="008937CF">
        <w:rPr>
          <w:b/>
          <w:sz w:val="24"/>
          <w:szCs w:val="24"/>
          <w:lang w:val="en-US"/>
        </w:rPr>
        <w:t>Introduction:</w:t>
      </w:r>
    </w:p>
    <w:p w:rsidR="00382235" w:rsidRDefault="009E5231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multivariate pattern analysis (MVPA) for functional magnetic resonance imaging (fMRI) data, cross-validated decoding accuracy (</w:t>
      </w:r>
      <w:proofErr w:type="spellStart"/>
      <w:r>
        <w:rPr>
          <w:sz w:val="24"/>
          <w:szCs w:val="24"/>
          <w:lang w:val="en-US"/>
        </w:rPr>
        <w:t>cvDA</w:t>
      </w:r>
      <w:proofErr w:type="spellEnd"/>
      <w:r>
        <w:rPr>
          <w:sz w:val="24"/>
          <w:szCs w:val="24"/>
          <w:lang w:val="en-US"/>
        </w:rPr>
        <w:t>) maps from first-level decoding analyses are typically sub</w:t>
      </w:r>
      <w:r w:rsidR="00382235">
        <w:rPr>
          <w:sz w:val="24"/>
          <w:szCs w:val="24"/>
          <w:lang w:val="en-US"/>
        </w:rPr>
        <w:t>jected</w:t>
      </w:r>
      <w:r>
        <w:rPr>
          <w:sz w:val="24"/>
          <w:szCs w:val="24"/>
          <w:lang w:val="en-US"/>
        </w:rPr>
        <w:t xml:space="preserve"> to</w:t>
      </w:r>
      <w:r w:rsidR="00D55D76">
        <w:rPr>
          <w:sz w:val="24"/>
          <w:szCs w:val="24"/>
          <w:lang w:val="en-US"/>
        </w:rPr>
        <w:t xml:space="preserve"> </w:t>
      </w:r>
      <w:r w:rsidR="00E17F39">
        <w:rPr>
          <w:sz w:val="24"/>
          <w:szCs w:val="24"/>
          <w:lang w:val="en-US"/>
        </w:rPr>
        <w:t>second-level</w:t>
      </w:r>
      <w:r>
        <w:rPr>
          <w:sz w:val="24"/>
          <w:szCs w:val="24"/>
          <w:lang w:val="en-US"/>
        </w:rPr>
        <w:t xml:space="preserve"> t-tests</w:t>
      </w:r>
      <w:r w:rsidR="00E17F39">
        <w:rPr>
          <w:sz w:val="24"/>
          <w:szCs w:val="24"/>
          <w:lang w:val="en-US"/>
        </w:rPr>
        <w:t xml:space="preserve"> [1]</w:t>
      </w:r>
      <w:r>
        <w:rPr>
          <w:sz w:val="24"/>
          <w:szCs w:val="24"/>
          <w:lang w:val="en-US"/>
        </w:rPr>
        <w:t xml:space="preserve"> </w:t>
      </w:r>
      <w:r w:rsidR="00E17F39">
        <w:rPr>
          <w:sz w:val="24"/>
          <w:szCs w:val="24"/>
          <w:lang w:val="en-US"/>
        </w:rPr>
        <w:t>in order to make population inference</w:t>
      </w:r>
      <w:r>
        <w:rPr>
          <w:sz w:val="24"/>
          <w:szCs w:val="24"/>
          <w:lang w:val="en-US"/>
        </w:rPr>
        <w:t>.</w:t>
      </w:r>
      <w:r w:rsidR="00E17F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This practice has been criticized as making questionable assumptions about </w:t>
      </w:r>
      <w:proofErr w:type="spellStart"/>
      <w:r>
        <w:rPr>
          <w:sz w:val="24"/>
          <w:szCs w:val="24"/>
          <w:lang w:val="en-US"/>
        </w:rPr>
        <w:t>cvDAs</w:t>
      </w:r>
      <w:proofErr w:type="spellEnd"/>
      <w:r w:rsidR="00382235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effectively performing </w:t>
      </w:r>
      <w:r w:rsidR="00382235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fixed-effects analys</w:t>
      </w:r>
      <w:r w:rsidR="00382235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s </w:t>
      </w:r>
      <w:r w:rsidR="00382235">
        <w:rPr>
          <w:sz w:val="24"/>
          <w:szCs w:val="24"/>
          <w:lang w:val="en-US"/>
        </w:rPr>
        <w:t xml:space="preserve">instead of a more appropriate random-effects analysis which is usually insinuated by </w:t>
      </w:r>
      <w:r w:rsidR="00405DF4">
        <w:rPr>
          <w:sz w:val="24"/>
          <w:szCs w:val="24"/>
          <w:lang w:val="en-US"/>
        </w:rPr>
        <w:t xml:space="preserve">the </w:t>
      </w:r>
      <w:r w:rsidR="00382235">
        <w:rPr>
          <w:sz w:val="24"/>
          <w:szCs w:val="24"/>
          <w:lang w:val="en-US"/>
        </w:rPr>
        <w:t>interpretation of the results [</w:t>
      </w:r>
      <w:r w:rsidR="00E17F39">
        <w:rPr>
          <w:sz w:val="24"/>
          <w:szCs w:val="24"/>
          <w:lang w:val="en-US"/>
        </w:rPr>
        <w:t>2</w:t>
      </w:r>
      <w:r w:rsidR="00382235">
        <w:rPr>
          <w:sz w:val="24"/>
          <w:szCs w:val="24"/>
          <w:lang w:val="en-US"/>
        </w:rPr>
        <w:t>].</w:t>
      </w:r>
      <w:r w:rsidR="00E17F39">
        <w:rPr>
          <w:sz w:val="24"/>
          <w:szCs w:val="24"/>
          <w:lang w:val="en-US"/>
        </w:rPr>
        <w:t xml:space="preserve"> T</w:t>
      </w:r>
      <w:r w:rsidR="00382235">
        <w:rPr>
          <w:sz w:val="24"/>
          <w:szCs w:val="24"/>
          <w:lang w:val="en-US"/>
        </w:rPr>
        <w:t xml:space="preserve">he second-level t-test for </w:t>
      </w:r>
      <w:proofErr w:type="spellStart"/>
      <w:r w:rsidR="00382235">
        <w:rPr>
          <w:sz w:val="24"/>
          <w:szCs w:val="24"/>
          <w:lang w:val="en-US"/>
        </w:rPr>
        <w:t>cvDAs</w:t>
      </w:r>
      <w:proofErr w:type="spellEnd"/>
      <w:r w:rsidR="00382235">
        <w:rPr>
          <w:sz w:val="24"/>
          <w:szCs w:val="24"/>
          <w:lang w:val="en-US"/>
        </w:rPr>
        <w:t xml:space="preserve"> can also be challenged based on the nature of accuracies which, unlike the variates going into a t-test, (</w:t>
      </w:r>
      <w:proofErr w:type="spellStart"/>
      <w:r w:rsidR="00382235">
        <w:rPr>
          <w:sz w:val="24"/>
          <w:szCs w:val="24"/>
          <w:lang w:val="en-US"/>
        </w:rPr>
        <w:t>i</w:t>
      </w:r>
      <w:proofErr w:type="spellEnd"/>
      <w:r w:rsidR="00382235">
        <w:rPr>
          <w:sz w:val="24"/>
          <w:szCs w:val="24"/>
          <w:lang w:val="en-US"/>
        </w:rPr>
        <w:t xml:space="preserve">) are neither in an </w:t>
      </w:r>
      <w:r w:rsidR="00382235" w:rsidRPr="00405DF4">
        <w:rPr>
          <w:i/>
          <w:sz w:val="24"/>
          <w:szCs w:val="24"/>
          <w:lang w:val="en-US"/>
        </w:rPr>
        <w:t>infinite range</w:t>
      </w:r>
      <w:r w:rsidR="00382235">
        <w:rPr>
          <w:sz w:val="24"/>
          <w:szCs w:val="24"/>
          <w:lang w:val="en-US"/>
        </w:rPr>
        <w:t xml:space="preserve"> (but bounded between 0 and 1), (ii) nor are they </w:t>
      </w:r>
      <w:r w:rsidR="00382235" w:rsidRPr="00405DF4">
        <w:rPr>
          <w:i/>
          <w:sz w:val="24"/>
          <w:szCs w:val="24"/>
          <w:lang w:val="en-US"/>
        </w:rPr>
        <w:t>normally distributed</w:t>
      </w:r>
      <w:r w:rsidR="00382235">
        <w:rPr>
          <w:sz w:val="24"/>
          <w:szCs w:val="24"/>
          <w:lang w:val="en-US"/>
        </w:rPr>
        <w:t xml:space="preserve"> (beca</w:t>
      </w:r>
      <w:r w:rsidR="00E17F39">
        <w:rPr>
          <w:sz w:val="24"/>
          <w:szCs w:val="24"/>
          <w:lang w:val="en-US"/>
        </w:rPr>
        <w:t xml:space="preserve">use they are proportions). </w:t>
      </w:r>
      <w:r w:rsidR="00C944F1">
        <w:rPr>
          <w:sz w:val="24"/>
          <w:szCs w:val="24"/>
          <w:lang w:val="en-US"/>
        </w:rPr>
        <w:t>Here, we</w:t>
      </w:r>
      <w:r w:rsidR="00382235">
        <w:rPr>
          <w:sz w:val="24"/>
          <w:szCs w:val="24"/>
          <w:lang w:val="en-US"/>
        </w:rPr>
        <w:t xml:space="preserve"> estimate Beta distributions </w:t>
      </w:r>
      <w:r w:rsidR="00E05895">
        <w:rPr>
          <w:sz w:val="24"/>
          <w:szCs w:val="24"/>
          <w:lang w:val="en-US"/>
        </w:rPr>
        <w:t>[5</w:t>
      </w:r>
      <w:proofErr w:type="gramStart"/>
      <w:r w:rsidR="00E05895">
        <w:rPr>
          <w:sz w:val="24"/>
          <w:szCs w:val="24"/>
          <w:lang w:val="en-US"/>
        </w:rPr>
        <w:t>,6</w:t>
      </w:r>
      <w:proofErr w:type="gramEnd"/>
      <w:r w:rsidR="00E05895">
        <w:rPr>
          <w:sz w:val="24"/>
          <w:szCs w:val="24"/>
          <w:lang w:val="en-US"/>
        </w:rPr>
        <w:t xml:space="preserve">] </w:t>
      </w:r>
      <w:r w:rsidR="00382235">
        <w:rPr>
          <w:sz w:val="24"/>
          <w:szCs w:val="24"/>
          <w:lang w:val="en-US"/>
        </w:rPr>
        <w:t xml:space="preserve">from </w:t>
      </w:r>
      <w:proofErr w:type="spellStart"/>
      <w:r w:rsidR="00382235">
        <w:rPr>
          <w:sz w:val="24"/>
          <w:szCs w:val="24"/>
          <w:lang w:val="en-US"/>
        </w:rPr>
        <w:t>cvDAs</w:t>
      </w:r>
      <w:proofErr w:type="spellEnd"/>
      <w:r w:rsidR="00C944F1">
        <w:rPr>
          <w:sz w:val="24"/>
          <w:szCs w:val="24"/>
          <w:lang w:val="en-US"/>
        </w:rPr>
        <w:t xml:space="preserve"> across subjects to overcome those problems and provide a number of summary statistics to make statements about the </w:t>
      </w:r>
      <w:r w:rsidR="00405DF4">
        <w:rPr>
          <w:sz w:val="24"/>
          <w:szCs w:val="24"/>
          <w:lang w:val="en-US"/>
        </w:rPr>
        <w:t>observed accuracies</w:t>
      </w:r>
      <w:r w:rsidR="00C944F1">
        <w:rPr>
          <w:sz w:val="24"/>
          <w:szCs w:val="24"/>
          <w:lang w:val="en-US"/>
        </w:rPr>
        <w:t>.</w:t>
      </w:r>
    </w:p>
    <w:p w:rsidR="003D5BB6" w:rsidRPr="00E706BB" w:rsidRDefault="003D5BB6" w:rsidP="00560DD0">
      <w:pPr>
        <w:spacing w:after="0" w:line="360" w:lineRule="auto"/>
        <w:jc w:val="both"/>
        <w:rPr>
          <w:sz w:val="12"/>
          <w:szCs w:val="12"/>
          <w:lang w:val="en-US"/>
        </w:rPr>
      </w:pPr>
    </w:p>
    <w:p w:rsidR="00142C54" w:rsidRDefault="008937C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8937CF">
        <w:rPr>
          <w:b/>
          <w:sz w:val="24"/>
          <w:szCs w:val="24"/>
          <w:lang w:val="en-US"/>
        </w:rPr>
        <w:t>Methods:</w:t>
      </w:r>
    </w:p>
    <w:p w:rsidR="005B0D4F" w:rsidRDefault="00851093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cross-validated decoding accuracies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sz w:val="24"/>
          <w:szCs w:val="24"/>
          <w:lang w:val="en-US"/>
        </w:rPr>
        <w:t xml:space="preserve"> from subjects </w:t>
      </w:r>
      <m:oMath>
        <m:r>
          <w:rPr>
            <w:rFonts w:ascii="Cambria Math" w:hAnsi="Cambria Math"/>
            <w:sz w:val="24"/>
            <w:szCs w:val="24"/>
            <w:lang w:val="en-US"/>
          </w:rPr>
          <m:t>i=1,…,N</m:t>
        </m:r>
      </m:oMath>
      <w:r>
        <w:rPr>
          <w:sz w:val="24"/>
          <w:szCs w:val="24"/>
          <w:lang w:val="en-US"/>
        </w:rPr>
        <w:t xml:space="preserve"> are assumed to be independent and come from a</w:t>
      </w:r>
      <w:r w:rsidR="00373017">
        <w:rPr>
          <w:sz w:val="24"/>
          <w:szCs w:val="24"/>
          <w:lang w:val="en-US"/>
        </w:rPr>
        <w:t>n underlying</w:t>
      </w:r>
      <w:r>
        <w:rPr>
          <w:sz w:val="24"/>
          <w:szCs w:val="24"/>
          <w:lang w:val="en-US"/>
        </w:rPr>
        <w:t xml:space="preserve"> Beta distribution</w:t>
      </w:r>
      <w:r w:rsidR="00993B25">
        <w:rPr>
          <w:sz w:val="24"/>
          <w:szCs w:val="24"/>
          <w:lang w:val="en-US"/>
        </w:rPr>
        <w:t xml:space="preserve"> [5]</w:t>
      </w:r>
      <w:r>
        <w:rPr>
          <w:sz w:val="24"/>
          <w:szCs w:val="24"/>
          <w:lang w:val="en-US"/>
        </w:rPr>
        <w:t>:</w:t>
      </w:r>
    </w:p>
    <w:p w:rsidR="00851093" w:rsidRPr="00851093" w:rsidRDefault="00851093" w:rsidP="00560DD0">
      <w:pPr>
        <w:spacing w:after="0"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;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nary>
        </m:oMath>
      </m:oMathPara>
    </w:p>
    <w:p w:rsidR="00851093" w:rsidRDefault="00851093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851093">
        <w:rPr>
          <w:sz w:val="24"/>
          <w:szCs w:val="24"/>
          <w:lang w:val="en-US"/>
        </w:rPr>
        <w:t xml:space="preserve">The parameters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</m:oMath>
      <w:r>
        <w:rPr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sz w:val="24"/>
          <w:szCs w:val="24"/>
          <w:lang w:val="en-US"/>
        </w:rPr>
        <w:t xml:space="preserve"> can be </w:t>
      </w:r>
      <w:r w:rsidR="00373017">
        <w:rPr>
          <w:sz w:val="24"/>
          <w:szCs w:val="24"/>
          <w:lang w:val="en-US"/>
        </w:rPr>
        <w:t>obtained</w:t>
      </w:r>
      <w:r>
        <w:rPr>
          <w:sz w:val="24"/>
          <w:szCs w:val="24"/>
          <w:lang w:val="en-US"/>
        </w:rPr>
        <w:t xml:space="preserve"> using maximum likelihood estimation (MLE) for the </w:t>
      </w:r>
      <w:proofErr w:type="spellStart"/>
      <w:r>
        <w:rPr>
          <w:sz w:val="24"/>
          <w:szCs w:val="24"/>
          <w:lang w:val="en-US"/>
        </w:rPr>
        <w:t>Dirichlet</w:t>
      </w:r>
      <w:proofErr w:type="spellEnd"/>
      <w:r>
        <w:rPr>
          <w:sz w:val="24"/>
          <w:szCs w:val="24"/>
          <w:lang w:val="en-US"/>
        </w:rPr>
        <w:t xml:space="preserve"> distribution [</w:t>
      </w:r>
      <w:r w:rsidR="003408FF">
        <w:rPr>
          <w:sz w:val="24"/>
          <w:szCs w:val="24"/>
          <w:lang w:val="en-US"/>
        </w:rPr>
        <w:t xml:space="preserve">6], </w:t>
      </w:r>
      <w:r w:rsidR="00F23D5A">
        <w:rPr>
          <w:sz w:val="24"/>
          <w:szCs w:val="24"/>
          <w:lang w:val="en-US"/>
        </w:rPr>
        <w:t>a generalization of the Beta distribution:</w:t>
      </w:r>
    </w:p>
    <w:p w:rsidR="00993B25" w:rsidRPr="00516B1C" w:rsidRDefault="00F653C4" w:rsidP="00560DD0">
      <w:pPr>
        <w:spacing w:after="0" w:line="360" w:lineRule="auto"/>
        <w:jc w:val="both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 xml:space="preserve">arg 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d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d>
                </m:e>
              </m:func>
            </m:e>
          </m:func>
        </m:oMath>
      </m:oMathPara>
    </w:p>
    <w:p w:rsidR="00373017" w:rsidRPr="00516B1C" w:rsidRDefault="00373017">
      <w:pPr>
        <w:spacing w:after="0" w:line="240" w:lineRule="auto"/>
        <w:rPr>
          <w:sz w:val="24"/>
          <w:szCs w:val="24"/>
        </w:rPr>
      </w:pPr>
      <w:r w:rsidRPr="00516B1C">
        <w:rPr>
          <w:sz w:val="24"/>
          <w:szCs w:val="24"/>
        </w:rPr>
        <w:br w:type="page"/>
      </w:r>
    </w:p>
    <w:p w:rsidR="00227B85" w:rsidRDefault="00993B25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From the estimated </w:t>
      </w:r>
      <w:r w:rsidR="00405DF4">
        <w:rPr>
          <w:sz w:val="24"/>
          <w:szCs w:val="24"/>
          <w:lang w:val="en-US"/>
        </w:rPr>
        <w:t>concentration</w:t>
      </w:r>
      <w:r w:rsidR="0037301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parameters, one can then calculate</w:t>
      </w:r>
      <w:r w:rsidR="00F653C4">
        <w:rPr>
          <w:sz w:val="24"/>
          <w:szCs w:val="24"/>
          <w:lang w:val="en-US"/>
        </w:rPr>
        <w:t xml:space="preserve"> (see Figure 1)</w:t>
      </w:r>
    </w:p>
    <w:p w:rsidR="00993B25" w:rsidRPr="00993B25" w:rsidRDefault="00993B25" w:rsidP="00993B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993B25">
        <w:rPr>
          <w:sz w:val="24"/>
          <w:szCs w:val="24"/>
          <w:lang w:val="en-US"/>
        </w:rPr>
        <w:t>the expected frequency, i.e. the mean of the accuracy distribution</w:t>
      </w:r>
    </w:p>
    <w:p w:rsidR="00993B25" w:rsidRPr="00993B25" w:rsidRDefault="00993B25" w:rsidP="00993B25">
      <w:pPr>
        <w:spacing w:after="0" w:line="360" w:lineRule="auto"/>
        <w:jc w:val="both"/>
        <w:rPr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EF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</m:acc>
            </m:den>
          </m:f>
        </m:oMath>
      </m:oMathPara>
    </w:p>
    <w:p w:rsidR="00993B25" w:rsidRDefault="00993B25" w:rsidP="00993B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likeliest frequency, i.e. the most likely decoding accuracy</w:t>
      </w:r>
    </w:p>
    <w:p w:rsidR="00993B25" w:rsidRPr="00993B25" w:rsidRDefault="00993B25" w:rsidP="00993B25">
      <w:pPr>
        <w:spacing w:after="0" w:line="360" w:lineRule="auto"/>
        <w:jc w:val="both"/>
        <w:rPr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LF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den>
          </m:f>
        </m:oMath>
      </m:oMathPara>
    </w:p>
    <w:p w:rsidR="00993B25" w:rsidRDefault="00D55D76" w:rsidP="00993B2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993B25">
        <w:rPr>
          <w:sz w:val="24"/>
          <w:szCs w:val="24"/>
          <w:lang w:val="en-US"/>
        </w:rPr>
        <w:t>exceedance probability that the decoding accuracy is larger than chance</w:t>
      </w:r>
      <w:r w:rsidR="00373017">
        <w:rPr>
          <w:sz w:val="24"/>
          <w:szCs w:val="24"/>
          <w:lang w:val="en-US"/>
        </w:rPr>
        <w:t xml:space="preserve"> level </w:t>
      </w:r>
      <m:oMath>
        <m:r>
          <w:rPr>
            <w:rFonts w:ascii="Cambria Math" w:hAnsi="Cambria Math"/>
            <w:sz w:val="24"/>
            <w:szCs w:val="24"/>
            <w:lang w:val="en-US"/>
          </w:rPr>
          <m:t>γ</m:t>
        </m:r>
      </m:oMath>
    </w:p>
    <w:p w:rsidR="00993B25" w:rsidRPr="00373017" w:rsidRDefault="00373017" w:rsidP="00993B25">
      <w:pPr>
        <w:spacing w:after="0" w:line="360" w:lineRule="auto"/>
        <w:jc w:val="both"/>
        <w:rPr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EP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r&gt;γ</m:t>
              </m:r>
            </m:e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=1-</m:t>
          </m:r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γ;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</m:acc>
            </m:e>
          </m:d>
        </m:oMath>
      </m:oMathPara>
    </w:p>
    <w:p w:rsidR="007416B7" w:rsidRDefault="00993B25" w:rsidP="00560D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confidence interval for the most likely accuracy, given a confidence level</w:t>
      </w:r>
      <w:r w:rsidR="00373017">
        <w:rPr>
          <w:sz w:val="24"/>
          <w:szCs w:val="24"/>
          <w:lang w:val="en-US"/>
        </w:rPr>
        <w:t xml:space="preserve"> (</w:t>
      </w:r>
      <m:oMath>
        <m:r>
          <w:rPr>
            <w:rFonts w:ascii="Cambria Math" w:hAnsi="Cambria Math"/>
            <w:sz w:val="24"/>
            <w:szCs w:val="24"/>
            <w:lang w:val="en-US"/>
          </w:rPr>
          <m:t>1-α</m:t>
        </m:r>
      </m:oMath>
      <w:r w:rsidR="00373017">
        <w:rPr>
          <w:sz w:val="24"/>
          <w:szCs w:val="24"/>
          <w:lang w:val="en-US"/>
        </w:rPr>
        <w:t>)</w:t>
      </w:r>
    </w:p>
    <w:p w:rsidR="00373017" w:rsidRPr="00373017" w:rsidRDefault="0076458C" w:rsidP="00373017">
      <w:pPr>
        <w:spacing w:after="0" w:line="360" w:lineRule="auto"/>
        <w:jc w:val="both"/>
        <w:rPr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  <w:szCs w:val="24"/>
              <w:lang w:val="en-US"/>
            </w:rPr>
            <m:t>CI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1-α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LF</m:t>
                      </m:r>
                    </m: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1,1-α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8E0F8A" w:rsidRPr="007416B7" w:rsidRDefault="008E0F8A" w:rsidP="00560DD0">
      <w:pPr>
        <w:spacing w:after="0" w:line="360" w:lineRule="auto"/>
        <w:jc w:val="both"/>
        <w:rPr>
          <w:sz w:val="12"/>
          <w:szCs w:val="12"/>
          <w:lang w:val="en-US"/>
        </w:rPr>
      </w:pPr>
    </w:p>
    <w:p w:rsidR="00C8406F" w:rsidRDefault="00553484" w:rsidP="00560DD0">
      <w:pPr>
        <w:spacing w:after="0" w:line="360" w:lineRule="auto"/>
        <w:jc w:val="both"/>
        <w:rPr>
          <w:color w:val="FF0000"/>
          <w:sz w:val="24"/>
          <w:szCs w:val="24"/>
          <w:lang w:val="en-US"/>
        </w:rPr>
      </w:pPr>
      <w:r w:rsidRPr="00553484">
        <w:rPr>
          <w:b/>
          <w:sz w:val="24"/>
          <w:szCs w:val="24"/>
          <w:lang w:val="en-US"/>
        </w:rPr>
        <w:t>Results:</w:t>
      </w:r>
    </w:p>
    <w:p w:rsidR="009342B7" w:rsidRPr="00426046" w:rsidRDefault="00516B1C" w:rsidP="008E0F8A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analyzed </w:t>
      </w:r>
      <w:r w:rsidR="00F23D5A">
        <w:rPr>
          <w:sz w:val="24"/>
          <w:szCs w:val="24"/>
          <w:lang w:val="en-US"/>
        </w:rPr>
        <w:t xml:space="preserve">a set of </w:t>
      </w:r>
      <w:proofErr w:type="spellStart"/>
      <w:r w:rsidR="00F23D5A">
        <w:rPr>
          <w:sz w:val="24"/>
          <w:szCs w:val="24"/>
          <w:lang w:val="en-US"/>
        </w:rPr>
        <w:t>cvDA</w:t>
      </w:r>
      <w:proofErr w:type="spellEnd"/>
      <w:r w:rsidR="00F23D5A">
        <w:rPr>
          <w:sz w:val="24"/>
          <w:szCs w:val="24"/>
          <w:lang w:val="en-US"/>
        </w:rPr>
        <w:t xml:space="preserve"> maps [4] that comes from an earlier study on object recognition [</w:t>
      </w:r>
      <w:r w:rsidR="00224CC5">
        <w:rPr>
          <w:sz w:val="24"/>
          <w:szCs w:val="24"/>
          <w:lang w:val="en-US"/>
        </w:rPr>
        <w:t xml:space="preserve">3] and was previously used </w:t>
      </w:r>
      <w:r w:rsidR="00405DF4">
        <w:rPr>
          <w:sz w:val="24"/>
          <w:szCs w:val="24"/>
          <w:lang w:val="en-US"/>
        </w:rPr>
        <w:t>in methods development for</w:t>
      </w:r>
      <w:r w:rsidR="00224CC5">
        <w:rPr>
          <w:sz w:val="24"/>
          <w:szCs w:val="24"/>
          <w:lang w:val="en-US"/>
        </w:rPr>
        <w:t xml:space="preserve"> second-level decoding inference [2]. </w:t>
      </w:r>
      <w:r w:rsidR="00EC52A4">
        <w:rPr>
          <w:sz w:val="24"/>
          <w:szCs w:val="24"/>
          <w:lang w:val="en-US"/>
        </w:rPr>
        <w:t>We show that the above-mentioned summary statistics can give an intuitive understanding of the amount of information contained in a voxel</w:t>
      </w:r>
      <w:r w:rsidR="009342B7">
        <w:rPr>
          <w:sz w:val="24"/>
          <w:szCs w:val="24"/>
          <w:lang w:val="en-US"/>
        </w:rPr>
        <w:t xml:space="preserve"> or searchlight</w:t>
      </w:r>
      <w:r w:rsidR="00EC52A4">
        <w:rPr>
          <w:sz w:val="24"/>
          <w:szCs w:val="24"/>
          <w:lang w:val="en-US"/>
        </w:rPr>
        <w:t xml:space="preserve"> when decoding accuracies are significantly above (see Figure 1A) </w:t>
      </w:r>
      <w:r w:rsidR="0093169C">
        <w:rPr>
          <w:sz w:val="24"/>
          <w:szCs w:val="24"/>
          <w:lang w:val="en-US"/>
        </w:rPr>
        <w:t>or</w:t>
      </w:r>
      <w:r w:rsidR="00EC52A4">
        <w:rPr>
          <w:sz w:val="24"/>
          <w:szCs w:val="24"/>
          <w:lang w:val="en-US"/>
        </w:rPr>
        <w:t xml:space="preserve"> when they are around chance level (see Figure 1B).</w:t>
      </w:r>
      <w:r w:rsidR="009342B7">
        <w:rPr>
          <w:sz w:val="24"/>
          <w:szCs w:val="24"/>
          <w:lang w:val="en-US"/>
        </w:rPr>
        <w:t xml:space="preserve"> Moreover, we observe that estimated concentration parameters across all voxels are compatible with a null distribution when labels were exchanged between classes (see Figure 2B), but not when </w:t>
      </w:r>
      <w:proofErr w:type="spellStart"/>
      <w:r w:rsidR="009342B7">
        <w:rPr>
          <w:sz w:val="24"/>
          <w:szCs w:val="24"/>
          <w:lang w:val="en-US"/>
        </w:rPr>
        <w:t>unpermuted</w:t>
      </w:r>
      <w:proofErr w:type="spellEnd"/>
      <w:r w:rsidR="009342B7">
        <w:rPr>
          <w:sz w:val="24"/>
          <w:szCs w:val="24"/>
          <w:lang w:val="en-US"/>
        </w:rPr>
        <w:t xml:space="preserve"> data were used (see Figure 2A).</w:t>
      </w:r>
    </w:p>
    <w:p w:rsidR="00A24C7B" w:rsidRPr="007416B7" w:rsidRDefault="00A24C7B" w:rsidP="00560DD0">
      <w:pPr>
        <w:spacing w:after="0" w:line="360" w:lineRule="auto"/>
        <w:jc w:val="both"/>
        <w:rPr>
          <w:sz w:val="12"/>
          <w:szCs w:val="12"/>
          <w:lang w:val="en-US"/>
        </w:rPr>
      </w:pPr>
    </w:p>
    <w:p w:rsidR="00553484" w:rsidRDefault="00553484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 w:rsidRPr="00553484">
        <w:rPr>
          <w:b/>
          <w:sz w:val="24"/>
          <w:szCs w:val="24"/>
          <w:lang w:val="en-US"/>
        </w:rPr>
        <w:t>Discussion:</w:t>
      </w:r>
    </w:p>
    <w:p w:rsidR="009342B7" w:rsidRDefault="009342B7" w:rsidP="00255BFE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provided a method for second-level analysis of </w:t>
      </w:r>
      <w:proofErr w:type="spellStart"/>
      <w:r w:rsidR="00203470">
        <w:rPr>
          <w:sz w:val="24"/>
          <w:szCs w:val="24"/>
          <w:lang w:val="en-US"/>
        </w:rPr>
        <w:t>cvDA</w:t>
      </w:r>
      <w:proofErr w:type="spellEnd"/>
      <w:r w:rsidR="00203470">
        <w:rPr>
          <w:sz w:val="24"/>
          <w:szCs w:val="24"/>
          <w:lang w:val="en-US"/>
        </w:rPr>
        <w:t xml:space="preserve"> maps</w:t>
      </w:r>
      <w:r>
        <w:rPr>
          <w:sz w:val="24"/>
          <w:szCs w:val="24"/>
          <w:lang w:val="en-US"/>
        </w:rPr>
        <w:t xml:space="preserve"> and validated it using empirical data. Unlike the currently received approach</w:t>
      </w:r>
      <w:r w:rsidR="00203470">
        <w:rPr>
          <w:sz w:val="24"/>
          <w:szCs w:val="24"/>
          <w:lang w:val="en-US"/>
        </w:rPr>
        <w:t>, i.e. the one-sample t-test, this type of analysis (</w:t>
      </w:r>
      <w:proofErr w:type="spellStart"/>
      <w:r w:rsidR="00203470">
        <w:rPr>
          <w:sz w:val="24"/>
          <w:szCs w:val="24"/>
          <w:lang w:val="en-US"/>
        </w:rPr>
        <w:t>i</w:t>
      </w:r>
      <w:proofErr w:type="spellEnd"/>
      <w:r w:rsidR="00203470">
        <w:rPr>
          <w:sz w:val="24"/>
          <w:szCs w:val="24"/>
          <w:lang w:val="en-US"/>
        </w:rPr>
        <w:t xml:space="preserve">) acknowledges the domain of accuracies as proportions and (ii) allows the distribution of accuracies to be non-symmetric. A downside of the proposed method is that it, like the t-test, does not take into account that </w:t>
      </w:r>
      <w:r w:rsidR="00203470" w:rsidRPr="00405DF4">
        <w:rPr>
          <w:i/>
          <w:sz w:val="24"/>
          <w:szCs w:val="24"/>
          <w:lang w:val="en-US"/>
        </w:rPr>
        <w:t>true</w:t>
      </w:r>
      <w:r w:rsidR="00203470">
        <w:rPr>
          <w:sz w:val="24"/>
          <w:szCs w:val="24"/>
          <w:lang w:val="en-US"/>
        </w:rPr>
        <w:t xml:space="preserve"> accuracies cannot be below chance level and inference therefore only pertains to </w:t>
      </w:r>
      <w:r w:rsidR="00203470" w:rsidRPr="00405DF4">
        <w:rPr>
          <w:i/>
          <w:sz w:val="24"/>
          <w:szCs w:val="24"/>
          <w:lang w:val="en-US"/>
        </w:rPr>
        <w:t>observed</w:t>
      </w:r>
      <w:r w:rsidR="00203470">
        <w:rPr>
          <w:sz w:val="24"/>
          <w:szCs w:val="24"/>
          <w:lang w:val="en-US"/>
        </w:rPr>
        <w:t xml:space="preserve"> accuracies [2]. </w:t>
      </w:r>
      <w:r>
        <w:rPr>
          <w:sz w:val="24"/>
          <w:szCs w:val="24"/>
          <w:lang w:val="en-US"/>
        </w:rPr>
        <w:t xml:space="preserve">In the future, we want </w:t>
      </w:r>
      <w:r w:rsidR="00203470">
        <w:rPr>
          <w:sz w:val="24"/>
          <w:szCs w:val="24"/>
          <w:lang w:val="en-US"/>
        </w:rPr>
        <w:t xml:space="preserve">to evaluate </w:t>
      </w:r>
      <w:r w:rsidR="00405DF4">
        <w:rPr>
          <w:sz w:val="24"/>
          <w:szCs w:val="24"/>
          <w:lang w:val="en-US"/>
        </w:rPr>
        <w:t xml:space="preserve">asymptotic </w:t>
      </w:r>
      <w:r w:rsidR="00203470">
        <w:rPr>
          <w:sz w:val="24"/>
          <w:szCs w:val="24"/>
          <w:lang w:val="en-US"/>
        </w:rPr>
        <w:t xml:space="preserve">properties of this approach </w:t>
      </w:r>
      <w:r w:rsidR="00CD2F60">
        <w:rPr>
          <w:sz w:val="24"/>
          <w:szCs w:val="24"/>
          <w:lang w:val="en-US"/>
        </w:rPr>
        <w:t>using</w:t>
      </w:r>
      <w:r w:rsidR="00203470">
        <w:rPr>
          <w:sz w:val="24"/>
          <w:szCs w:val="24"/>
          <w:lang w:val="en-US"/>
        </w:rPr>
        <w:t xml:space="preserve"> simulated data and implement multiple comparison correction for </w:t>
      </w:r>
      <w:r w:rsidR="005374BC">
        <w:rPr>
          <w:sz w:val="24"/>
          <w:szCs w:val="24"/>
          <w:lang w:val="en-US"/>
        </w:rPr>
        <w:t>the analysis of empirical data.</w:t>
      </w:r>
    </w:p>
    <w:p w:rsidR="00203470" w:rsidRDefault="00203470" w:rsidP="00255BFE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4D46C1" w:rsidRPr="00E61D93" w:rsidRDefault="00316B4F" w:rsidP="00560DD0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  <w:r w:rsidR="004D46C1" w:rsidRPr="005D1C63">
        <w:rPr>
          <w:b/>
          <w:sz w:val="24"/>
          <w:szCs w:val="24"/>
          <w:lang w:val="en-US"/>
        </w:rPr>
        <w:lastRenderedPageBreak/>
        <w:t>References:</w:t>
      </w:r>
    </w:p>
    <w:p w:rsidR="00E04294" w:rsidRPr="00A00D15" w:rsidRDefault="00E04294" w:rsidP="00E0429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E51DA5">
        <w:rPr>
          <w:sz w:val="24"/>
          <w:szCs w:val="24"/>
          <w:lang w:val="en-US"/>
        </w:rPr>
        <w:t>Reverberi</w:t>
      </w:r>
      <w:proofErr w:type="spellEnd"/>
      <w:r w:rsidRPr="00E51DA5">
        <w:rPr>
          <w:sz w:val="24"/>
          <w:szCs w:val="24"/>
          <w:lang w:val="en-US"/>
        </w:rPr>
        <w:t>, C</w:t>
      </w:r>
      <w:r>
        <w:rPr>
          <w:sz w:val="24"/>
          <w:szCs w:val="24"/>
          <w:lang w:val="en-US"/>
        </w:rPr>
        <w:t>. (2012), ‘</w:t>
      </w:r>
      <w:r w:rsidRPr="00E51DA5">
        <w:rPr>
          <w:sz w:val="24"/>
          <w:szCs w:val="24"/>
          <w:lang w:val="en-US"/>
        </w:rPr>
        <w:t>Compositionality of rule representations in human prefrontal cortex</w:t>
      </w:r>
      <w:r>
        <w:rPr>
          <w:sz w:val="24"/>
          <w:szCs w:val="24"/>
          <w:lang w:val="en-US"/>
        </w:rPr>
        <w:t xml:space="preserve">’, </w:t>
      </w:r>
      <w:r w:rsidRPr="00E51DA5">
        <w:rPr>
          <w:sz w:val="24"/>
          <w:szCs w:val="24"/>
          <w:lang w:val="en-US"/>
        </w:rPr>
        <w:t xml:space="preserve">Cerebral </w:t>
      </w:r>
      <w:r>
        <w:rPr>
          <w:sz w:val="24"/>
          <w:szCs w:val="24"/>
          <w:lang w:val="en-US"/>
        </w:rPr>
        <w:t>C</w:t>
      </w:r>
      <w:r w:rsidRPr="00E51DA5">
        <w:rPr>
          <w:sz w:val="24"/>
          <w:szCs w:val="24"/>
          <w:lang w:val="en-US"/>
        </w:rPr>
        <w:t>ortex</w:t>
      </w:r>
      <w:r>
        <w:rPr>
          <w:sz w:val="24"/>
          <w:szCs w:val="24"/>
          <w:lang w:val="en-US"/>
        </w:rPr>
        <w:t>, vol.</w:t>
      </w:r>
      <w:r w:rsidRPr="00E51DA5">
        <w:rPr>
          <w:sz w:val="24"/>
          <w:szCs w:val="24"/>
          <w:lang w:val="en-US"/>
        </w:rPr>
        <w:t xml:space="preserve"> 22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iss</w:t>
      </w:r>
      <w:proofErr w:type="spellEnd"/>
      <w:r w:rsidRPr="00E51DA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E51DA5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, pp. </w:t>
      </w:r>
      <w:r w:rsidRPr="00E51DA5">
        <w:rPr>
          <w:sz w:val="24"/>
          <w:szCs w:val="24"/>
          <w:lang w:val="en-US"/>
        </w:rPr>
        <w:t>1237-1246.</w:t>
      </w:r>
    </w:p>
    <w:p w:rsidR="00A76ACD" w:rsidRPr="00E04294" w:rsidRDefault="00E04294" w:rsidP="00E0429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E04294">
        <w:rPr>
          <w:sz w:val="24"/>
          <w:szCs w:val="24"/>
          <w:lang w:val="en-US"/>
        </w:rPr>
        <w:t>Allefeld</w:t>
      </w:r>
      <w:proofErr w:type="spellEnd"/>
      <w:r w:rsidRPr="00E0429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C</w:t>
      </w:r>
      <w:r w:rsidRPr="00E0429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(2016), ‘</w:t>
      </w:r>
      <w:r w:rsidRPr="00E04294">
        <w:rPr>
          <w:sz w:val="24"/>
          <w:szCs w:val="24"/>
          <w:lang w:val="en-US"/>
        </w:rPr>
        <w:t xml:space="preserve">Valid population inference for information-based imaging: From the second-level </w:t>
      </w:r>
      <w:r>
        <w:rPr>
          <w:sz w:val="24"/>
          <w:szCs w:val="24"/>
          <w:lang w:val="en-US"/>
        </w:rPr>
        <w:t xml:space="preserve">t-test to prevalence inference’, </w:t>
      </w:r>
      <w:proofErr w:type="spellStart"/>
      <w:r w:rsidRPr="00E04294">
        <w:rPr>
          <w:sz w:val="24"/>
          <w:szCs w:val="24"/>
          <w:lang w:val="en-US"/>
        </w:rPr>
        <w:t>Neuro</w:t>
      </w:r>
      <w:r>
        <w:rPr>
          <w:sz w:val="24"/>
          <w:szCs w:val="24"/>
          <w:lang w:val="en-US"/>
        </w:rPr>
        <w:t>I</w:t>
      </w:r>
      <w:r w:rsidRPr="00E04294">
        <w:rPr>
          <w:sz w:val="24"/>
          <w:szCs w:val="24"/>
          <w:lang w:val="en-US"/>
        </w:rPr>
        <w:t>mage</w:t>
      </w:r>
      <w:proofErr w:type="spellEnd"/>
      <w:r>
        <w:rPr>
          <w:sz w:val="24"/>
          <w:szCs w:val="24"/>
          <w:lang w:val="en-US"/>
        </w:rPr>
        <w:t>, vol.</w:t>
      </w:r>
      <w:r w:rsidRPr="00E04294">
        <w:rPr>
          <w:sz w:val="24"/>
          <w:szCs w:val="24"/>
          <w:lang w:val="en-US"/>
        </w:rPr>
        <w:t xml:space="preserve"> 141</w:t>
      </w:r>
      <w:r>
        <w:rPr>
          <w:sz w:val="24"/>
          <w:szCs w:val="24"/>
          <w:lang w:val="en-US"/>
        </w:rPr>
        <w:t xml:space="preserve">, pp. </w:t>
      </w:r>
      <w:r w:rsidRPr="00E04294">
        <w:rPr>
          <w:sz w:val="24"/>
          <w:szCs w:val="24"/>
          <w:lang w:val="en-US"/>
        </w:rPr>
        <w:t>378-392.</w:t>
      </w:r>
    </w:p>
    <w:p w:rsidR="00F23D5A" w:rsidRPr="00E04294" w:rsidRDefault="00E04294" w:rsidP="00E0429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E04294">
        <w:rPr>
          <w:sz w:val="24"/>
          <w:szCs w:val="24"/>
          <w:lang w:val="en-US"/>
        </w:rPr>
        <w:t>Cichy</w:t>
      </w:r>
      <w:proofErr w:type="spellEnd"/>
      <w:r w:rsidRPr="00E0429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R.M</w:t>
      </w:r>
      <w:r w:rsidRPr="00E0429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(2011), ‘</w:t>
      </w:r>
      <w:r w:rsidRPr="00E04294">
        <w:rPr>
          <w:sz w:val="24"/>
          <w:szCs w:val="24"/>
          <w:lang w:val="en-US"/>
        </w:rPr>
        <w:t>Encoding the identity and location of objects in human LOC</w:t>
      </w:r>
      <w:r>
        <w:rPr>
          <w:sz w:val="24"/>
          <w:szCs w:val="24"/>
          <w:lang w:val="en-US"/>
        </w:rPr>
        <w:t xml:space="preserve">’, </w:t>
      </w:r>
      <w:proofErr w:type="spellStart"/>
      <w:r w:rsidRPr="00E04294">
        <w:rPr>
          <w:sz w:val="24"/>
          <w:szCs w:val="24"/>
          <w:lang w:val="en-US"/>
        </w:rPr>
        <w:t>Neuro</w:t>
      </w:r>
      <w:r>
        <w:rPr>
          <w:sz w:val="24"/>
          <w:szCs w:val="24"/>
          <w:lang w:val="en-US"/>
        </w:rPr>
        <w:t>I</w:t>
      </w:r>
      <w:r w:rsidRPr="00E04294">
        <w:rPr>
          <w:sz w:val="24"/>
          <w:szCs w:val="24"/>
          <w:lang w:val="en-US"/>
        </w:rPr>
        <w:t>mage</w:t>
      </w:r>
      <w:proofErr w:type="spellEnd"/>
      <w:r>
        <w:rPr>
          <w:sz w:val="24"/>
          <w:szCs w:val="24"/>
          <w:lang w:val="en-US"/>
        </w:rPr>
        <w:t>, vol.</w:t>
      </w:r>
      <w:r w:rsidRPr="00E04294">
        <w:rPr>
          <w:sz w:val="24"/>
          <w:szCs w:val="24"/>
          <w:lang w:val="en-US"/>
        </w:rPr>
        <w:t xml:space="preserve"> 54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iss</w:t>
      </w:r>
      <w:proofErr w:type="spellEnd"/>
      <w:r w:rsidRPr="00E0429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E04294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, pp. </w:t>
      </w:r>
      <w:r w:rsidRPr="00E04294">
        <w:rPr>
          <w:sz w:val="24"/>
          <w:szCs w:val="24"/>
          <w:lang w:val="en-US"/>
        </w:rPr>
        <w:t>2297-2307.</w:t>
      </w:r>
    </w:p>
    <w:p w:rsidR="00E04294" w:rsidRPr="00E04294" w:rsidRDefault="00E04294" w:rsidP="00E0429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Allefeld</w:t>
      </w:r>
      <w:proofErr w:type="spellEnd"/>
      <w:r>
        <w:rPr>
          <w:sz w:val="24"/>
          <w:szCs w:val="24"/>
          <w:lang w:val="en-US"/>
        </w:rPr>
        <w:t>, C. (2016), ‘</w:t>
      </w:r>
      <w:r w:rsidRPr="00E04294">
        <w:rPr>
          <w:sz w:val="24"/>
          <w:szCs w:val="24"/>
          <w:lang w:val="en-US"/>
        </w:rPr>
        <w:t xml:space="preserve">Test data based on </w:t>
      </w:r>
      <w:proofErr w:type="spellStart"/>
      <w:r w:rsidRPr="00E04294">
        <w:rPr>
          <w:sz w:val="24"/>
          <w:szCs w:val="24"/>
          <w:lang w:val="en-US"/>
        </w:rPr>
        <w:t>Cichy</w:t>
      </w:r>
      <w:proofErr w:type="spellEnd"/>
      <w:r w:rsidRPr="00E04294">
        <w:rPr>
          <w:sz w:val="24"/>
          <w:szCs w:val="24"/>
          <w:lang w:val="en-US"/>
        </w:rPr>
        <w:t xml:space="preserve"> et al. (2011)</w:t>
      </w:r>
      <w:r>
        <w:rPr>
          <w:sz w:val="24"/>
          <w:szCs w:val="24"/>
          <w:lang w:val="en-US"/>
        </w:rPr>
        <w:t xml:space="preserve">’, GitHub; URL: </w:t>
      </w:r>
      <w:hyperlink r:id="rId6" w:history="1">
        <w:r w:rsidR="00EC52A4" w:rsidRPr="00633812">
          <w:rPr>
            <w:rStyle w:val="Hyperlink"/>
            <w:sz w:val="24"/>
            <w:szCs w:val="24"/>
            <w:lang w:val="en-US"/>
          </w:rPr>
          <w:t>https://github.com/allefeld/cichy-2011-category-smoothedaccuracy</w:t>
        </w:r>
      </w:hyperlink>
      <w:r w:rsidRPr="00E04294">
        <w:rPr>
          <w:sz w:val="24"/>
          <w:szCs w:val="24"/>
          <w:lang w:val="en-US"/>
        </w:rPr>
        <w:t>.</w:t>
      </w:r>
    </w:p>
    <w:p w:rsidR="00A76ACD" w:rsidRPr="00E04294" w:rsidRDefault="00A76ACD" w:rsidP="00E0429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r w:rsidRPr="00E04294">
        <w:rPr>
          <w:sz w:val="24"/>
          <w:szCs w:val="24"/>
          <w:lang w:val="en-US"/>
        </w:rPr>
        <w:t>Koch</w:t>
      </w:r>
      <w:r w:rsidR="0076458C" w:rsidRPr="00E04294">
        <w:rPr>
          <w:sz w:val="24"/>
          <w:szCs w:val="24"/>
          <w:lang w:val="en-US"/>
        </w:rPr>
        <w:t>,</w:t>
      </w:r>
      <w:r w:rsidR="00E04294" w:rsidRPr="00E04294">
        <w:rPr>
          <w:sz w:val="24"/>
          <w:szCs w:val="24"/>
          <w:lang w:val="en-US"/>
        </w:rPr>
        <w:t xml:space="preserve"> K.R. (2007), </w:t>
      </w:r>
      <w:r w:rsidR="005374BC">
        <w:rPr>
          <w:sz w:val="24"/>
          <w:szCs w:val="24"/>
          <w:lang w:val="en-US"/>
        </w:rPr>
        <w:t>‘</w:t>
      </w:r>
      <w:r w:rsidR="00E04294" w:rsidRPr="00E04294">
        <w:rPr>
          <w:sz w:val="24"/>
          <w:szCs w:val="24"/>
          <w:lang w:val="en-US"/>
        </w:rPr>
        <w:t xml:space="preserve">Introduction to Bayesian Statistics‘, </w:t>
      </w:r>
      <w:r w:rsidR="005644CB">
        <w:rPr>
          <w:sz w:val="24"/>
          <w:szCs w:val="24"/>
          <w:lang w:val="en-US"/>
        </w:rPr>
        <w:t>2nd</w:t>
      </w:r>
      <w:r w:rsidR="00E04294" w:rsidRPr="00E04294">
        <w:rPr>
          <w:sz w:val="24"/>
          <w:szCs w:val="24"/>
          <w:lang w:val="en-US"/>
        </w:rPr>
        <w:t xml:space="preserve"> edition, </w:t>
      </w:r>
      <w:r w:rsidR="0076458C" w:rsidRPr="00E04294">
        <w:rPr>
          <w:sz w:val="24"/>
          <w:szCs w:val="24"/>
          <w:lang w:val="en-US"/>
        </w:rPr>
        <w:t>Springer</w:t>
      </w:r>
      <w:r w:rsidR="00E04294">
        <w:rPr>
          <w:sz w:val="24"/>
          <w:szCs w:val="24"/>
          <w:lang w:val="en-US"/>
        </w:rPr>
        <w:t xml:space="preserve">, Berlin/Heidelberg, </w:t>
      </w:r>
      <w:proofErr w:type="spellStart"/>
      <w:r w:rsidR="0076458C" w:rsidRPr="00E04294">
        <w:rPr>
          <w:sz w:val="24"/>
          <w:szCs w:val="24"/>
          <w:lang w:val="en-US"/>
        </w:rPr>
        <w:t>ch.</w:t>
      </w:r>
      <w:proofErr w:type="spellEnd"/>
      <w:r w:rsidR="0076458C" w:rsidRPr="00E04294">
        <w:rPr>
          <w:sz w:val="24"/>
          <w:szCs w:val="24"/>
          <w:lang w:val="en-US"/>
        </w:rPr>
        <w:t xml:space="preserve"> 2.4.4, </w:t>
      </w:r>
      <w:r w:rsidRPr="00E04294">
        <w:rPr>
          <w:sz w:val="24"/>
          <w:szCs w:val="24"/>
          <w:lang w:val="en-US"/>
        </w:rPr>
        <w:t>p. 48</w:t>
      </w:r>
      <w:r w:rsidR="0076458C" w:rsidRPr="00E04294">
        <w:rPr>
          <w:sz w:val="24"/>
          <w:szCs w:val="24"/>
          <w:lang w:val="en-US"/>
        </w:rPr>
        <w:t>.</w:t>
      </w:r>
    </w:p>
    <w:p w:rsidR="00E04294" w:rsidRDefault="00A76ACD" w:rsidP="00E04294">
      <w:pPr>
        <w:numPr>
          <w:ilvl w:val="0"/>
          <w:numId w:val="1"/>
        </w:numPr>
        <w:spacing w:after="0" w:line="360" w:lineRule="auto"/>
        <w:ind w:left="567" w:hanging="567"/>
        <w:jc w:val="both"/>
        <w:rPr>
          <w:sz w:val="24"/>
          <w:szCs w:val="24"/>
          <w:lang w:val="en-US"/>
        </w:rPr>
      </w:pPr>
      <w:proofErr w:type="spellStart"/>
      <w:r w:rsidRPr="00E04294">
        <w:rPr>
          <w:sz w:val="24"/>
          <w:szCs w:val="24"/>
          <w:lang w:val="en-US"/>
        </w:rPr>
        <w:t>Minka</w:t>
      </w:r>
      <w:proofErr w:type="spellEnd"/>
      <w:r w:rsidR="0076458C" w:rsidRPr="00E04294">
        <w:rPr>
          <w:sz w:val="24"/>
          <w:szCs w:val="24"/>
          <w:lang w:val="en-US"/>
        </w:rPr>
        <w:t xml:space="preserve">, </w:t>
      </w:r>
      <w:r w:rsidR="00E04294" w:rsidRPr="00E04294">
        <w:rPr>
          <w:sz w:val="24"/>
          <w:szCs w:val="24"/>
          <w:lang w:val="en-US"/>
        </w:rPr>
        <w:t xml:space="preserve">T. </w:t>
      </w:r>
      <w:r w:rsidR="00E04294">
        <w:rPr>
          <w:sz w:val="24"/>
          <w:szCs w:val="24"/>
          <w:lang w:val="en-US"/>
        </w:rPr>
        <w:t xml:space="preserve">(2012), ‘Estimating a </w:t>
      </w:r>
      <w:proofErr w:type="spellStart"/>
      <w:r w:rsidR="00E04294">
        <w:rPr>
          <w:sz w:val="24"/>
          <w:szCs w:val="24"/>
          <w:lang w:val="en-US"/>
        </w:rPr>
        <w:t>Dirichlet</w:t>
      </w:r>
      <w:proofErr w:type="spellEnd"/>
      <w:r w:rsidR="00E04294">
        <w:rPr>
          <w:sz w:val="24"/>
          <w:szCs w:val="24"/>
          <w:lang w:val="en-US"/>
        </w:rPr>
        <w:t xml:space="preserve"> distribution’, technical report; URL: </w:t>
      </w:r>
      <w:hyperlink r:id="rId7" w:history="1">
        <w:r w:rsidRPr="00E04294">
          <w:rPr>
            <w:rStyle w:val="Hyperlink"/>
            <w:sz w:val="24"/>
            <w:szCs w:val="24"/>
            <w:lang w:val="en-US"/>
          </w:rPr>
          <w:t>https://tminka.github.io/pa</w:t>
        </w:r>
        <w:r w:rsidRPr="0076458C">
          <w:rPr>
            <w:rStyle w:val="Hyperlink"/>
            <w:sz w:val="24"/>
            <w:szCs w:val="24"/>
            <w:lang w:val="en-US"/>
          </w:rPr>
          <w:t>pers/dirichlet/minka-dirichlet.pdf</w:t>
        </w:r>
      </w:hyperlink>
      <w:r w:rsidR="00E04294" w:rsidRPr="00E04294">
        <w:rPr>
          <w:sz w:val="24"/>
          <w:szCs w:val="24"/>
          <w:lang w:val="en-US"/>
        </w:rPr>
        <w:t>.</w:t>
      </w:r>
    </w:p>
    <w:p w:rsidR="00E04294" w:rsidRDefault="00E042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04294" w:rsidRDefault="00F653C4" w:rsidP="00E04294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7437600" cy="5760000"/>
            <wp:effectExtent l="63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376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94" w:rsidRDefault="00E0429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04294" w:rsidRPr="00E04294" w:rsidRDefault="00F653C4" w:rsidP="00E04294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7513200" cy="5760000"/>
            <wp:effectExtent l="31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32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94" w:rsidRPr="00E04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807"/>
    <w:multiLevelType w:val="hybridMultilevel"/>
    <w:tmpl w:val="EE524F76"/>
    <w:lvl w:ilvl="0" w:tplc="0944E79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AF1A28"/>
    <w:multiLevelType w:val="hybridMultilevel"/>
    <w:tmpl w:val="77928E4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DE"/>
    <w:rsid w:val="00004F94"/>
    <w:rsid w:val="00006F84"/>
    <w:rsid w:val="00025F36"/>
    <w:rsid w:val="00030A8A"/>
    <w:rsid w:val="00041EA5"/>
    <w:rsid w:val="00057CA0"/>
    <w:rsid w:val="00071295"/>
    <w:rsid w:val="00071922"/>
    <w:rsid w:val="000723F1"/>
    <w:rsid w:val="00072E88"/>
    <w:rsid w:val="000823D6"/>
    <w:rsid w:val="00084CEF"/>
    <w:rsid w:val="000C05B2"/>
    <w:rsid w:val="000F33E0"/>
    <w:rsid w:val="00111498"/>
    <w:rsid w:val="00116D7E"/>
    <w:rsid w:val="00126131"/>
    <w:rsid w:val="00142C54"/>
    <w:rsid w:val="00150298"/>
    <w:rsid w:val="00154F99"/>
    <w:rsid w:val="00166B45"/>
    <w:rsid w:val="001673B6"/>
    <w:rsid w:val="001B56FC"/>
    <w:rsid w:val="001C151A"/>
    <w:rsid w:val="001C5B39"/>
    <w:rsid w:val="001D3642"/>
    <w:rsid w:val="001D7D74"/>
    <w:rsid w:val="001E0050"/>
    <w:rsid w:val="001E043A"/>
    <w:rsid w:val="001E092A"/>
    <w:rsid w:val="001E2BE9"/>
    <w:rsid w:val="001E7585"/>
    <w:rsid w:val="001F4D7F"/>
    <w:rsid w:val="001F6288"/>
    <w:rsid w:val="00203470"/>
    <w:rsid w:val="00207B17"/>
    <w:rsid w:val="00215D86"/>
    <w:rsid w:val="00222992"/>
    <w:rsid w:val="00224CC5"/>
    <w:rsid w:val="00227B85"/>
    <w:rsid w:val="002510B5"/>
    <w:rsid w:val="00253E09"/>
    <w:rsid w:val="00255BFE"/>
    <w:rsid w:val="00277D85"/>
    <w:rsid w:val="00284335"/>
    <w:rsid w:val="002976E3"/>
    <w:rsid w:val="002A3289"/>
    <w:rsid w:val="002B0B94"/>
    <w:rsid w:val="002B4902"/>
    <w:rsid w:val="002B5807"/>
    <w:rsid w:val="002B681D"/>
    <w:rsid w:val="002C47E1"/>
    <w:rsid w:val="002D3E1B"/>
    <w:rsid w:val="002D7D1A"/>
    <w:rsid w:val="00307790"/>
    <w:rsid w:val="003111BF"/>
    <w:rsid w:val="00312E89"/>
    <w:rsid w:val="00316B4F"/>
    <w:rsid w:val="003323E5"/>
    <w:rsid w:val="003324B2"/>
    <w:rsid w:val="003408FF"/>
    <w:rsid w:val="00353AE0"/>
    <w:rsid w:val="00353BF9"/>
    <w:rsid w:val="00355E33"/>
    <w:rsid w:val="00356811"/>
    <w:rsid w:val="003605A2"/>
    <w:rsid w:val="00364A76"/>
    <w:rsid w:val="00370430"/>
    <w:rsid w:val="00372082"/>
    <w:rsid w:val="00373017"/>
    <w:rsid w:val="00382235"/>
    <w:rsid w:val="003826DD"/>
    <w:rsid w:val="0038590A"/>
    <w:rsid w:val="00392FB7"/>
    <w:rsid w:val="00393224"/>
    <w:rsid w:val="003973B4"/>
    <w:rsid w:val="003B7FB7"/>
    <w:rsid w:val="003C796F"/>
    <w:rsid w:val="003D5BB6"/>
    <w:rsid w:val="003D5E00"/>
    <w:rsid w:val="003E3D5A"/>
    <w:rsid w:val="003E696C"/>
    <w:rsid w:val="00405DF4"/>
    <w:rsid w:val="00426046"/>
    <w:rsid w:val="0044467D"/>
    <w:rsid w:val="00447474"/>
    <w:rsid w:val="00462003"/>
    <w:rsid w:val="00476C89"/>
    <w:rsid w:val="0048374E"/>
    <w:rsid w:val="00486A10"/>
    <w:rsid w:val="004941A6"/>
    <w:rsid w:val="00496D50"/>
    <w:rsid w:val="004A5199"/>
    <w:rsid w:val="004B280D"/>
    <w:rsid w:val="004B35A3"/>
    <w:rsid w:val="004B4E6C"/>
    <w:rsid w:val="004B7540"/>
    <w:rsid w:val="004C1B94"/>
    <w:rsid w:val="004D41D9"/>
    <w:rsid w:val="004D46C1"/>
    <w:rsid w:val="004F675C"/>
    <w:rsid w:val="00503EE4"/>
    <w:rsid w:val="00504534"/>
    <w:rsid w:val="0051227E"/>
    <w:rsid w:val="005145FB"/>
    <w:rsid w:val="00516B1C"/>
    <w:rsid w:val="0053120E"/>
    <w:rsid w:val="00535FB8"/>
    <w:rsid w:val="00536973"/>
    <w:rsid w:val="005374BC"/>
    <w:rsid w:val="00553484"/>
    <w:rsid w:val="00560DD0"/>
    <w:rsid w:val="00562717"/>
    <w:rsid w:val="00563CB7"/>
    <w:rsid w:val="005644CB"/>
    <w:rsid w:val="00564FBD"/>
    <w:rsid w:val="005B000E"/>
    <w:rsid w:val="005B0D4F"/>
    <w:rsid w:val="005C0E53"/>
    <w:rsid w:val="005D1C63"/>
    <w:rsid w:val="005D5B93"/>
    <w:rsid w:val="005D674E"/>
    <w:rsid w:val="005E3448"/>
    <w:rsid w:val="005F5BB7"/>
    <w:rsid w:val="00601EBB"/>
    <w:rsid w:val="00622DE0"/>
    <w:rsid w:val="00631D3B"/>
    <w:rsid w:val="00652057"/>
    <w:rsid w:val="006530AE"/>
    <w:rsid w:val="00666B78"/>
    <w:rsid w:val="00673C0F"/>
    <w:rsid w:val="0068480B"/>
    <w:rsid w:val="006A4433"/>
    <w:rsid w:val="006B305C"/>
    <w:rsid w:val="006C1308"/>
    <w:rsid w:val="006C19DE"/>
    <w:rsid w:val="006E0593"/>
    <w:rsid w:val="006E3316"/>
    <w:rsid w:val="00706A82"/>
    <w:rsid w:val="00714A6B"/>
    <w:rsid w:val="00721E00"/>
    <w:rsid w:val="00722170"/>
    <w:rsid w:val="0073235F"/>
    <w:rsid w:val="007325AB"/>
    <w:rsid w:val="0074013C"/>
    <w:rsid w:val="007414E7"/>
    <w:rsid w:val="007416B7"/>
    <w:rsid w:val="00741CD7"/>
    <w:rsid w:val="0074259A"/>
    <w:rsid w:val="00752551"/>
    <w:rsid w:val="007550E3"/>
    <w:rsid w:val="0076458C"/>
    <w:rsid w:val="00782D86"/>
    <w:rsid w:val="007A32FB"/>
    <w:rsid w:val="007B46AA"/>
    <w:rsid w:val="00831A96"/>
    <w:rsid w:val="0084052F"/>
    <w:rsid w:val="0084105D"/>
    <w:rsid w:val="00851093"/>
    <w:rsid w:val="008516BB"/>
    <w:rsid w:val="008820FD"/>
    <w:rsid w:val="008937CF"/>
    <w:rsid w:val="008A1D28"/>
    <w:rsid w:val="008B40F6"/>
    <w:rsid w:val="008C1ABB"/>
    <w:rsid w:val="008C3E38"/>
    <w:rsid w:val="008C536F"/>
    <w:rsid w:val="008D29B7"/>
    <w:rsid w:val="008D7A67"/>
    <w:rsid w:val="008E0F8A"/>
    <w:rsid w:val="008F1DCB"/>
    <w:rsid w:val="008F29CF"/>
    <w:rsid w:val="008F4792"/>
    <w:rsid w:val="008F7719"/>
    <w:rsid w:val="00900B6C"/>
    <w:rsid w:val="00901D86"/>
    <w:rsid w:val="0090215C"/>
    <w:rsid w:val="0092554A"/>
    <w:rsid w:val="0093169C"/>
    <w:rsid w:val="009342B7"/>
    <w:rsid w:val="00935821"/>
    <w:rsid w:val="00935D84"/>
    <w:rsid w:val="00940110"/>
    <w:rsid w:val="009431FA"/>
    <w:rsid w:val="00944619"/>
    <w:rsid w:val="00952299"/>
    <w:rsid w:val="00953315"/>
    <w:rsid w:val="00954472"/>
    <w:rsid w:val="009618FE"/>
    <w:rsid w:val="00963A8E"/>
    <w:rsid w:val="0096586A"/>
    <w:rsid w:val="009733E2"/>
    <w:rsid w:val="00976006"/>
    <w:rsid w:val="00993B25"/>
    <w:rsid w:val="009A6CE0"/>
    <w:rsid w:val="009A78FC"/>
    <w:rsid w:val="009B2E92"/>
    <w:rsid w:val="009B3455"/>
    <w:rsid w:val="009C1302"/>
    <w:rsid w:val="009C6759"/>
    <w:rsid w:val="009E5231"/>
    <w:rsid w:val="009F2AB9"/>
    <w:rsid w:val="00A22BE6"/>
    <w:rsid w:val="00A24C7B"/>
    <w:rsid w:val="00A2588B"/>
    <w:rsid w:val="00A40043"/>
    <w:rsid w:val="00A5736D"/>
    <w:rsid w:val="00A66C53"/>
    <w:rsid w:val="00A74F78"/>
    <w:rsid w:val="00A76ACD"/>
    <w:rsid w:val="00A81C47"/>
    <w:rsid w:val="00A84911"/>
    <w:rsid w:val="00A91373"/>
    <w:rsid w:val="00A9231F"/>
    <w:rsid w:val="00AA4913"/>
    <w:rsid w:val="00AA5396"/>
    <w:rsid w:val="00AB5102"/>
    <w:rsid w:val="00AD4CAC"/>
    <w:rsid w:val="00AD51DF"/>
    <w:rsid w:val="00AF2B7E"/>
    <w:rsid w:val="00B07020"/>
    <w:rsid w:val="00B307B0"/>
    <w:rsid w:val="00B51DBB"/>
    <w:rsid w:val="00B8049B"/>
    <w:rsid w:val="00B80ACE"/>
    <w:rsid w:val="00B82972"/>
    <w:rsid w:val="00BA2C3C"/>
    <w:rsid w:val="00BA765B"/>
    <w:rsid w:val="00BB10ED"/>
    <w:rsid w:val="00BB6A1A"/>
    <w:rsid w:val="00BC2C15"/>
    <w:rsid w:val="00BC3976"/>
    <w:rsid w:val="00BE0EFA"/>
    <w:rsid w:val="00BE20A6"/>
    <w:rsid w:val="00BE5244"/>
    <w:rsid w:val="00C00A04"/>
    <w:rsid w:val="00C04F54"/>
    <w:rsid w:val="00C14BBD"/>
    <w:rsid w:val="00C21752"/>
    <w:rsid w:val="00C24227"/>
    <w:rsid w:val="00C31C6F"/>
    <w:rsid w:val="00C35BDF"/>
    <w:rsid w:val="00C413F7"/>
    <w:rsid w:val="00C547FF"/>
    <w:rsid w:val="00C673DC"/>
    <w:rsid w:val="00C75007"/>
    <w:rsid w:val="00C8406F"/>
    <w:rsid w:val="00C84CCA"/>
    <w:rsid w:val="00C944F1"/>
    <w:rsid w:val="00CA205D"/>
    <w:rsid w:val="00CA456A"/>
    <w:rsid w:val="00CB48B5"/>
    <w:rsid w:val="00CB48BA"/>
    <w:rsid w:val="00CB5D19"/>
    <w:rsid w:val="00CB686C"/>
    <w:rsid w:val="00CB6C77"/>
    <w:rsid w:val="00CD2F60"/>
    <w:rsid w:val="00CD74ED"/>
    <w:rsid w:val="00CE03BB"/>
    <w:rsid w:val="00CF4052"/>
    <w:rsid w:val="00D0247B"/>
    <w:rsid w:val="00D044CC"/>
    <w:rsid w:val="00D12276"/>
    <w:rsid w:val="00D2006E"/>
    <w:rsid w:val="00D2294A"/>
    <w:rsid w:val="00D327D2"/>
    <w:rsid w:val="00D346F0"/>
    <w:rsid w:val="00D47747"/>
    <w:rsid w:val="00D55D76"/>
    <w:rsid w:val="00D5733F"/>
    <w:rsid w:val="00D60EE2"/>
    <w:rsid w:val="00D719A0"/>
    <w:rsid w:val="00D74656"/>
    <w:rsid w:val="00DA08C1"/>
    <w:rsid w:val="00DA1493"/>
    <w:rsid w:val="00DA31EF"/>
    <w:rsid w:val="00DA4656"/>
    <w:rsid w:val="00DC3636"/>
    <w:rsid w:val="00DC53C2"/>
    <w:rsid w:val="00DD6A8A"/>
    <w:rsid w:val="00DE2F74"/>
    <w:rsid w:val="00DF071B"/>
    <w:rsid w:val="00E04294"/>
    <w:rsid w:val="00E05895"/>
    <w:rsid w:val="00E17F39"/>
    <w:rsid w:val="00E22C6D"/>
    <w:rsid w:val="00E25BDC"/>
    <w:rsid w:val="00E454CE"/>
    <w:rsid w:val="00E54F30"/>
    <w:rsid w:val="00E61D93"/>
    <w:rsid w:val="00E63601"/>
    <w:rsid w:val="00E706BB"/>
    <w:rsid w:val="00E7103B"/>
    <w:rsid w:val="00E75BA8"/>
    <w:rsid w:val="00E77531"/>
    <w:rsid w:val="00E83768"/>
    <w:rsid w:val="00E936CA"/>
    <w:rsid w:val="00E95281"/>
    <w:rsid w:val="00E964B5"/>
    <w:rsid w:val="00EB2002"/>
    <w:rsid w:val="00EB27EC"/>
    <w:rsid w:val="00EB385F"/>
    <w:rsid w:val="00EB7A26"/>
    <w:rsid w:val="00EC52A4"/>
    <w:rsid w:val="00ED0F40"/>
    <w:rsid w:val="00ED3AC1"/>
    <w:rsid w:val="00ED54ED"/>
    <w:rsid w:val="00F15313"/>
    <w:rsid w:val="00F17F62"/>
    <w:rsid w:val="00F222DF"/>
    <w:rsid w:val="00F23D5A"/>
    <w:rsid w:val="00F61B1B"/>
    <w:rsid w:val="00F653C4"/>
    <w:rsid w:val="00F65FAF"/>
    <w:rsid w:val="00F9210C"/>
    <w:rsid w:val="00F9274E"/>
    <w:rsid w:val="00F95724"/>
    <w:rsid w:val="00FA338A"/>
    <w:rsid w:val="00FE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932207-E516-4879-80B6-2713D31E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348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553484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5C0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E53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5C0E5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E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0E5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5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C0E53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3D5E0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66C53"/>
    <w:pPr>
      <w:spacing w:after="0" w:line="360" w:lineRule="auto"/>
      <w:jc w:val="both"/>
    </w:pPr>
    <w:rPr>
      <w:rFonts w:ascii="Times" w:eastAsia="SimSun" w:hAnsi="Times" w:cs="Times"/>
      <w:sz w:val="20"/>
      <w:szCs w:val="20"/>
      <w:lang w:val="en-US" w:bidi="en-US"/>
    </w:rPr>
  </w:style>
  <w:style w:type="character" w:customStyle="1" w:styleId="NoSpacingChar">
    <w:name w:val="No Spacing Char"/>
    <w:link w:val="NoSpacing"/>
    <w:uiPriority w:val="1"/>
    <w:rsid w:val="00A66C53"/>
    <w:rPr>
      <w:rFonts w:ascii="Times" w:eastAsia="SimSun" w:hAnsi="Times" w:cs="Times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8B40F6"/>
    <w:rPr>
      <w:color w:val="808080"/>
    </w:rPr>
  </w:style>
  <w:style w:type="paragraph" w:styleId="ListParagraph">
    <w:name w:val="List Paragraph"/>
    <w:basedOn w:val="Normal"/>
    <w:uiPriority w:val="34"/>
    <w:qFormat/>
    <w:rsid w:val="0099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tminka.github.io/papers/dirichlet/minka-dirichle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lefeld/cichy-2011-category-smoothedaccurac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84853-0BE5-4DB7-A416-F5597C80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Soch</dc:creator>
  <cp:keywords/>
  <dc:description/>
  <cp:lastModifiedBy>Joram Soch</cp:lastModifiedBy>
  <cp:revision>55</cp:revision>
  <dcterms:created xsi:type="dcterms:W3CDTF">2018-12-12T13:21:00Z</dcterms:created>
  <dcterms:modified xsi:type="dcterms:W3CDTF">2019-12-20T04:10:00Z</dcterms:modified>
</cp:coreProperties>
</file>