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FF86A5" w14:textId="6EF14382" w:rsidR="002B6707" w:rsidRDefault="00613DD8">
      <w:pPr>
        <w:spacing w:after="0" w:line="30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Structural and functional MRI </w:t>
      </w:r>
      <w:r w:rsidR="002B6707">
        <w:rPr>
          <w:b/>
          <w:sz w:val="32"/>
          <w:szCs w:val="32"/>
          <w:lang w:val="en-US"/>
        </w:rPr>
        <w:t xml:space="preserve">data </w:t>
      </w:r>
      <w:r>
        <w:rPr>
          <w:b/>
          <w:sz w:val="32"/>
          <w:szCs w:val="32"/>
          <w:lang w:val="en-US"/>
        </w:rPr>
        <w:t>differentially</w:t>
      </w:r>
    </w:p>
    <w:p w14:paraId="232870B3" w14:textId="388FFA12" w:rsidR="000E43A9" w:rsidRDefault="00613DD8" w:rsidP="004E5D17">
      <w:pPr>
        <w:spacing w:after="0" w:line="36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predict</w:t>
      </w:r>
      <w:r w:rsidR="002B6707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chronological age and memory performance</w:t>
      </w:r>
    </w:p>
    <w:p w14:paraId="61783DD8" w14:textId="77777777" w:rsidR="000E43A9" w:rsidRDefault="000E43A9">
      <w:pPr>
        <w:spacing w:after="0" w:line="360" w:lineRule="auto"/>
        <w:jc w:val="center"/>
        <w:rPr>
          <w:sz w:val="6"/>
          <w:szCs w:val="6"/>
          <w:lang w:val="en-US"/>
        </w:rPr>
      </w:pPr>
    </w:p>
    <w:p w14:paraId="5CE977DC" w14:textId="69675EAF" w:rsidR="000E43A9" w:rsidRPr="000C119A" w:rsidRDefault="00613DD8">
      <w:pPr>
        <w:spacing w:after="0" w:line="360" w:lineRule="auto"/>
        <w:jc w:val="center"/>
        <w:rPr>
          <w:sz w:val="24"/>
          <w:szCs w:val="24"/>
          <w:vertAlign w:val="superscript"/>
          <w:lang w:val="x-none"/>
        </w:rPr>
      </w:pPr>
      <w:r w:rsidRPr="000C119A">
        <w:rPr>
          <w:sz w:val="24"/>
          <w:szCs w:val="24"/>
        </w:rPr>
        <w:t>Joram Soch</w:t>
      </w:r>
      <w:r w:rsidRPr="000C119A">
        <w:rPr>
          <w:sz w:val="24"/>
          <w:szCs w:val="24"/>
          <w:vertAlign w:val="superscript"/>
        </w:rPr>
        <w:t>1,2,</w:t>
      </w:r>
      <w:r w:rsidRPr="000C119A">
        <w:rPr>
          <w:sz w:val="24"/>
          <w:szCs w:val="24"/>
        </w:rPr>
        <w:t>*, Anni Richter</w:t>
      </w:r>
      <w:r w:rsidRPr="000C119A">
        <w:rPr>
          <w:sz w:val="24"/>
          <w:szCs w:val="24"/>
          <w:vertAlign w:val="superscript"/>
        </w:rPr>
        <w:t>3,</w:t>
      </w:r>
      <w:r w:rsidRPr="000C119A">
        <w:rPr>
          <w:sz w:val="24"/>
          <w:szCs w:val="24"/>
        </w:rPr>
        <w:t xml:space="preserve">*, </w:t>
      </w:r>
      <w:r w:rsidR="006E3D7A" w:rsidRPr="000C119A">
        <w:rPr>
          <w:sz w:val="24"/>
          <w:szCs w:val="24"/>
        </w:rPr>
        <w:t>Hartmut Schütze</w:t>
      </w:r>
      <w:r w:rsidR="007979CC" w:rsidRPr="000C119A">
        <w:rPr>
          <w:sz w:val="24"/>
          <w:szCs w:val="24"/>
          <w:vertAlign w:val="superscript"/>
        </w:rPr>
        <w:t>4,5</w:t>
      </w:r>
      <w:r w:rsidR="006E3D7A" w:rsidRPr="000C119A">
        <w:rPr>
          <w:sz w:val="24"/>
          <w:szCs w:val="24"/>
        </w:rPr>
        <w:t xml:space="preserve">, </w:t>
      </w:r>
      <w:r w:rsidRPr="000C119A">
        <w:rPr>
          <w:sz w:val="24"/>
          <w:szCs w:val="24"/>
        </w:rPr>
        <w:t>Jasmin M. Kizilirmak</w:t>
      </w:r>
      <w:r w:rsidRPr="000C119A">
        <w:rPr>
          <w:sz w:val="24"/>
          <w:szCs w:val="24"/>
          <w:vertAlign w:val="superscript"/>
        </w:rPr>
        <w:t>1</w:t>
      </w:r>
      <w:r w:rsidRPr="000C119A">
        <w:rPr>
          <w:sz w:val="24"/>
          <w:szCs w:val="24"/>
        </w:rPr>
        <w:t>, Björn Schott</w:t>
      </w:r>
      <w:r w:rsidRPr="000C119A">
        <w:rPr>
          <w:sz w:val="24"/>
          <w:szCs w:val="24"/>
          <w:vertAlign w:val="superscript"/>
        </w:rPr>
        <w:t>1,3,</w:t>
      </w:r>
      <w:r w:rsidR="007979CC">
        <w:rPr>
          <w:sz w:val="24"/>
          <w:szCs w:val="24"/>
          <w:vertAlign w:val="superscript"/>
        </w:rPr>
        <w:t>6,7</w:t>
      </w:r>
    </w:p>
    <w:p w14:paraId="03A81E73" w14:textId="77777777" w:rsidR="000E43A9" w:rsidRDefault="000E43A9">
      <w:pPr>
        <w:spacing w:after="0" w:line="360" w:lineRule="auto"/>
        <w:jc w:val="center"/>
        <w:rPr>
          <w:sz w:val="6"/>
          <w:szCs w:val="6"/>
        </w:rPr>
      </w:pPr>
    </w:p>
    <w:p w14:paraId="63A4C7FD" w14:textId="77777777" w:rsidR="000E43A9" w:rsidRDefault="00613DD8">
      <w:pPr>
        <w:spacing w:after="0" w:line="240" w:lineRule="auto"/>
        <w:ind w:left="567"/>
        <w:rPr>
          <w:sz w:val="24"/>
          <w:szCs w:val="24"/>
          <w:lang w:val="en-US"/>
        </w:rPr>
      </w:pPr>
      <w:r>
        <w:rPr>
          <w:sz w:val="24"/>
          <w:szCs w:val="24"/>
          <w:vertAlign w:val="superscript"/>
          <w:lang w:val="en-US"/>
        </w:rPr>
        <w:t>1</w:t>
      </w:r>
      <w:r>
        <w:rPr>
          <w:sz w:val="24"/>
          <w:szCs w:val="24"/>
          <w:lang w:val="en-US"/>
        </w:rPr>
        <w:t xml:space="preserve"> German Center for Neurodegenerative Diseases (DZNE), Göttingen, Germany</w:t>
      </w:r>
    </w:p>
    <w:p w14:paraId="4399272D" w14:textId="77777777" w:rsidR="000E43A9" w:rsidRDefault="00613DD8">
      <w:pPr>
        <w:spacing w:after="0" w:line="240" w:lineRule="auto"/>
        <w:ind w:left="567"/>
        <w:rPr>
          <w:sz w:val="24"/>
          <w:szCs w:val="24"/>
          <w:lang w:val="en-US"/>
        </w:rPr>
      </w:pPr>
      <w:r>
        <w:rPr>
          <w:sz w:val="24"/>
          <w:szCs w:val="24"/>
          <w:vertAlign w:val="superscript"/>
          <w:lang w:val="en-US"/>
        </w:rPr>
        <w:t>2</w:t>
      </w:r>
      <w:r>
        <w:rPr>
          <w:sz w:val="24"/>
          <w:szCs w:val="24"/>
          <w:lang w:val="en-US"/>
        </w:rPr>
        <w:t xml:space="preserve"> Bernstein Center for Computational Neuroscience (BCCN), Berlin, Germany</w:t>
      </w:r>
    </w:p>
    <w:p w14:paraId="6580C342" w14:textId="5CF25799" w:rsidR="000E43A9" w:rsidRDefault="00613DD8">
      <w:pPr>
        <w:spacing w:after="0" w:line="240" w:lineRule="auto"/>
        <w:ind w:left="567"/>
        <w:rPr>
          <w:sz w:val="24"/>
          <w:szCs w:val="24"/>
          <w:lang w:val="en-US"/>
        </w:rPr>
      </w:pPr>
      <w:r>
        <w:rPr>
          <w:sz w:val="24"/>
          <w:szCs w:val="24"/>
          <w:vertAlign w:val="superscript"/>
          <w:lang w:val="en-US"/>
        </w:rPr>
        <w:t>3</w:t>
      </w:r>
      <w:r>
        <w:rPr>
          <w:sz w:val="24"/>
          <w:szCs w:val="24"/>
          <w:lang w:val="en-US"/>
        </w:rPr>
        <w:t xml:space="preserve"> Leibniz Institute for Neurobiology (LIN), Magdeburg, Germany</w:t>
      </w:r>
    </w:p>
    <w:p w14:paraId="173BCC2D" w14:textId="2F7BD8B7" w:rsidR="007979CC" w:rsidRDefault="007979CC" w:rsidP="007979CC">
      <w:pPr>
        <w:spacing w:after="0" w:line="240" w:lineRule="auto"/>
        <w:ind w:left="567"/>
        <w:rPr>
          <w:sz w:val="24"/>
          <w:szCs w:val="24"/>
          <w:lang w:val="en-US"/>
        </w:rPr>
      </w:pPr>
      <w:r>
        <w:rPr>
          <w:sz w:val="24"/>
          <w:szCs w:val="24"/>
          <w:vertAlign w:val="superscript"/>
          <w:lang w:val="en-US"/>
        </w:rPr>
        <w:t>4</w:t>
      </w:r>
      <w:r>
        <w:rPr>
          <w:sz w:val="24"/>
          <w:szCs w:val="24"/>
          <w:lang w:val="en-US"/>
        </w:rPr>
        <w:t xml:space="preserve"> German Center for Neurodegenerative Diseases (DZNE), Magdeburg, Germany</w:t>
      </w:r>
    </w:p>
    <w:p w14:paraId="581764D1" w14:textId="64FAE0F2" w:rsidR="007979CC" w:rsidRDefault="007979CC" w:rsidP="007979CC">
      <w:pPr>
        <w:spacing w:after="0" w:line="240" w:lineRule="auto"/>
        <w:ind w:left="567"/>
        <w:rPr>
          <w:sz w:val="24"/>
          <w:szCs w:val="24"/>
          <w:lang w:val="en-US"/>
        </w:rPr>
      </w:pPr>
      <w:r>
        <w:rPr>
          <w:sz w:val="24"/>
          <w:szCs w:val="24"/>
          <w:vertAlign w:val="superscript"/>
          <w:lang w:val="en-US"/>
        </w:rPr>
        <w:t>5</w:t>
      </w:r>
      <w:r>
        <w:rPr>
          <w:sz w:val="24"/>
          <w:szCs w:val="24"/>
          <w:lang w:val="en-US"/>
        </w:rPr>
        <w:t xml:space="preserve"> </w:t>
      </w:r>
      <w:r w:rsidRPr="007979CC">
        <w:rPr>
          <w:sz w:val="24"/>
          <w:szCs w:val="24"/>
          <w:lang w:val="en-US"/>
        </w:rPr>
        <w:t>Medical Faculty, Otto von Guericke University</w:t>
      </w:r>
      <w:r w:rsidR="00613DD8">
        <w:rPr>
          <w:sz w:val="24"/>
          <w:szCs w:val="24"/>
          <w:lang w:val="en-US"/>
        </w:rPr>
        <w:t xml:space="preserve"> (OvGU)</w:t>
      </w:r>
      <w:r w:rsidRPr="007979CC">
        <w:rPr>
          <w:sz w:val="24"/>
          <w:szCs w:val="24"/>
          <w:lang w:val="en-US"/>
        </w:rPr>
        <w:t>, Magdeburg, Germany</w:t>
      </w:r>
    </w:p>
    <w:p w14:paraId="17CFB9FC" w14:textId="3DA84A7F" w:rsidR="000E43A9" w:rsidRDefault="007979CC">
      <w:pPr>
        <w:spacing w:after="0" w:line="240" w:lineRule="auto"/>
        <w:ind w:left="567"/>
        <w:rPr>
          <w:sz w:val="24"/>
          <w:szCs w:val="24"/>
          <w:lang w:val="en-US"/>
        </w:rPr>
      </w:pPr>
      <w:r>
        <w:rPr>
          <w:sz w:val="24"/>
          <w:szCs w:val="24"/>
          <w:vertAlign w:val="superscript"/>
          <w:lang w:val="en-US"/>
        </w:rPr>
        <w:t>6</w:t>
      </w:r>
      <w:r w:rsidR="00613DD8">
        <w:rPr>
          <w:sz w:val="24"/>
          <w:szCs w:val="24"/>
          <w:lang w:val="en-US"/>
        </w:rPr>
        <w:t xml:space="preserve"> Center for Behavioral Brain Sciences (CBBS), Magdeburg, Germany</w:t>
      </w:r>
    </w:p>
    <w:p w14:paraId="171EA774" w14:textId="7C3ECBB1" w:rsidR="000E43A9" w:rsidRDefault="007979CC">
      <w:pPr>
        <w:spacing w:after="0" w:line="240" w:lineRule="auto"/>
        <w:ind w:left="567"/>
        <w:rPr>
          <w:sz w:val="24"/>
          <w:szCs w:val="24"/>
          <w:lang w:val="en-US"/>
        </w:rPr>
      </w:pPr>
      <w:r>
        <w:rPr>
          <w:sz w:val="24"/>
          <w:szCs w:val="24"/>
          <w:vertAlign w:val="superscript"/>
          <w:lang w:val="en-US"/>
        </w:rPr>
        <w:t>7</w:t>
      </w:r>
      <w:r w:rsidR="00613DD8">
        <w:rPr>
          <w:sz w:val="24"/>
          <w:szCs w:val="24"/>
          <w:lang w:val="en-US"/>
        </w:rPr>
        <w:t xml:space="preserve"> Department of Psychiatry and Psychotherapy, University Medical Center Göttingen (UMG), Göttingen, Germany</w:t>
      </w:r>
    </w:p>
    <w:p w14:paraId="0E0ADBBE" w14:textId="77777777" w:rsidR="000E43A9" w:rsidRDefault="000E43A9">
      <w:pPr>
        <w:spacing w:after="0" w:line="360" w:lineRule="auto"/>
        <w:jc w:val="both"/>
        <w:rPr>
          <w:sz w:val="24"/>
          <w:szCs w:val="24"/>
          <w:lang w:val="en-US"/>
        </w:rPr>
      </w:pPr>
    </w:p>
    <w:p w14:paraId="519CD041" w14:textId="77777777" w:rsidR="000E43A9" w:rsidRDefault="00613DD8">
      <w:p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Introduction:</w:t>
      </w:r>
    </w:p>
    <w:p w14:paraId="07EE2B5A" w14:textId="39DAFC72" w:rsidR="000E43A9" w:rsidRDefault="00613DD8">
      <w:pPr>
        <w:spacing w:after="0" w:line="360" w:lineRule="auto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Human cognitive abilities typically decline with increasing chronological age, with explicit memory performance being particularly affected [1]. In order to </w:t>
      </w:r>
      <w:r w:rsidR="000C119A">
        <w:rPr>
          <w:rFonts w:cs="Calibri"/>
          <w:sz w:val="24"/>
          <w:szCs w:val="24"/>
          <w:lang w:val="en-US"/>
        </w:rPr>
        <w:t>track</w:t>
      </w:r>
      <w:r w:rsidR="000C119A">
        <w:rPr>
          <w:rFonts w:cs="Calibri"/>
          <w:sz w:val="24"/>
          <w:szCs w:val="24"/>
          <w:lang w:val="en-US"/>
        </w:rPr>
        <w:t xml:space="preserve"> </w:t>
      </w:r>
      <w:r>
        <w:rPr>
          <w:rFonts w:cs="Calibri"/>
          <w:sz w:val="24"/>
          <w:szCs w:val="24"/>
          <w:lang w:val="en-US"/>
        </w:rPr>
        <w:t>such developments [2], and especially to differentiate h</w:t>
      </w:r>
      <w:r w:rsidR="00EB310E">
        <w:rPr>
          <w:rFonts w:cs="Calibri"/>
          <w:sz w:val="24"/>
          <w:szCs w:val="24"/>
          <w:lang w:val="en-US"/>
        </w:rPr>
        <w:t>ealthy physiological from patho</w:t>
      </w:r>
      <w:r>
        <w:rPr>
          <w:rFonts w:cs="Calibri"/>
          <w:sz w:val="24"/>
          <w:szCs w:val="24"/>
          <w:lang w:val="en-US"/>
        </w:rPr>
        <w:t xml:space="preserve">physiological aging [3], predictors of this decline need to be identified. </w:t>
      </w:r>
      <w:r w:rsidR="000C119A">
        <w:rPr>
          <w:rFonts w:cs="Calibri"/>
          <w:sz w:val="24"/>
          <w:szCs w:val="24"/>
          <w:lang w:val="en-US"/>
        </w:rPr>
        <w:t>Whereas</w:t>
      </w:r>
      <w:r>
        <w:rPr>
          <w:rFonts w:cs="Calibri"/>
          <w:sz w:val="24"/>
          <w:szCs w:val="24"/>
          <w:lang w:val="en-US"/>
        </w:rPr>
        <w:t xml:space="preserve"> previo</w:t>
      </w:r>
      <w:bookmarkStart w:id="0" w:name="_GoBack"/>
      <w:bookmarkEnd w:id="0"/>
      <w:r>
        <w:rPr>
          <w:rFonts w:cs="Calibri"/>
          <w:sz w:val="24"/>
          <w:szCs w:val="24"/>
          <w:lang w:val="en-US"/>
        </w:rPr>
        <w:t xml:space="preserve">us studies on age-related differences </w:t>
      </w:r>
      <w:r w:rsidR="000C119A">
        <w:rPr>
          <w:rFonts w:cs="Calibri"/>
          <w:sz w:val="24"/>
          <w:szCs w:val="24"/>
          <w:lang w:val="en-US"/>
        </w:rPr>
        <w:t>have focused on</w:t>
      </w:r>
      <w:r>
        <w:rPr>
          <w:rFonts w:cs="Calibri"/>
          <w:sz w:val="24"/>
          <w:szCs w:val="24"/>
          <w:lang w:val="en-US"/>
        </w:rPr>
        <w:t xml:space="preserve"> </w:t>
      </w:r>
      <w:r w:rsidR="003B5B31">
        <w:rPr>
          <w:rFonts w:cs="Calibri"/>
          <w:sz w:val="24"/>
          <w:szCs w:val="24"/>
          <w:lang w:val="en-US"/>
        </w:rPr>
        <w:t>just a few</w:t>
      </w:r>
      <w:r>
        <w:rPr>
          <w:rFonts w:cs="Calibri"/>
          <w:sz w:val="24"/>
          <w:szCs w:val="24"/>
          <w:lang w:val="en-US"/>
        </w:rPr>
        <w:t xml:space="preserve"> potential predictors, </w:t>
      </w:r>
      <w:r w:rsidR="000C119A">
        <w:rPr>
          <w:rFonts w:cs="Calibri"/>
          <w:sz w:val="24"/>
          <w:szCs w:val="24"/>
          <w:lang w:val="en-US"/>
        </w:rPr>
        <w:t xml:space="preserve">we </w:t>
      </w:r>
      <w:r>
        <w:rPr>
          <w:rFonts w:cs="Calibri"/>
          <w:sz w:val="24"/>
          <w:szCs w:val="24"/>
          <w:lang w:val="en-US"/>
        </w:rPr>
        <w:t xml:space="preserve">here compared </w:t>
      </w:r>
      <w:r w:rsidR="00D60EE9">
        <w:rPr>
          <w:rFonts w:cs="Calibri"/>
          <w:sz w:val="24"/>
          <w:szCs w:val="24"/>
          <w:lang w:val="en-US"/>
        </w:rPr>
        <w:t xml:space="preserve">behavioral data, task-based, </w:t>
      </w:r>
      <w:r>
        <w:rPr>
          <w:rFonts w:cs="Calibri"/>
          <w:sz w:val="24"/>
          <w:szCs w:val="24"/>
          <w:lang w:val="en-US"/>
        </w:rPr>
        <w:t xml:space="preserve">resting-state </w:t>
      </w:r>
      <w:r w:rsidR="00D60EE9">
        <w:rPr>
          <w:rFonts w:cs="Calibri"/>
          <w:sz w:val="24"/>
          <w:szCs w:val="24"/>
          <w:lang w:val="en-US"/>
        </w:rPr>
        <w:t>and</w:t>
      </w:r>
      <w:r>
        <w:rPr>
          <w:rFonts w:cs="Calibri"/>
          <w:sz w:val="24"/>
          <w:szCs w:val="24"/>
          <w:lang w:val="en-US"/>
        </w:rPr>
        <w:t xml:space="preserve"> structural </w:t>
      </w:r>
      <w:r w:rsidR="00D60EE9">
        <w:rPr>
          <w:rFonts w:cs="Calibri"/>
          <w:sz w:val="24"/>
          <w:szCs w:val="24"/>
          <w:lang w:val="en-US"/>
        </w:rPr>
        <w:t>magnetic resonance imaging (</w:t>
      </w:r>
      <w:r>
        <w:rPr>
          <w:rFonts w:cs="Calibri"/>
          <w:sz w:val="24"/>
          <w:szCs w:val="24"/>
          <w:lang w:val="en-US"/>
        </w:rPr>
        <w:t>MRI</w:t>
      </w:r>
      <w:r w:rsidR="00D60EE9">
        <w:rPr>
          <w:rFonts w:cs="Calibri"/>
          <w:sz w:val="24"/>
          <w:szCs w:val="24"/>
          <w:lang w:val="en-US"/>
        </w:rPr>
        <w:t>) in terms of</w:t>
      </w:r>
      <w:r>
        <w:rPr>
          <w:rFonts w:cs="Calibri"/>
          <w:sz w:val="24"/>
          <w:szCs w:val="24"/>
          <w:lang w:val="en-US"/>
        </w:rPr>
        <w:t xml:space="preserve"> their ability </w:t>
      </w:r>
      <w:r w:rsidR="00D60EE9">
        <w:rPr>
          <w:rFonts w:cs="Calibri"/>
          <w:sz w:val="24"/>
          <w:szCs w:val="24"/>
          <w:lang w:val="en-US"/>
        </w:rPr>
        <w:t>to predict</w:t>
      </w:r>
      <w:r>
        <w:rPr>
          <w:rFonts w:cs="Calibri"/>
          <w:sz w:val="24"/>
          <w:szCs w:val="24"/>
          <w:lang w:val="en-US"/>
        </w:rPr>
        <w:t xml:space="preserve"> chronological age and memory performance </w:t>
      </w:r>
      <w:r w:rsidR="00D60EE9">
        <w:rPr>
          <w:rFonts w:cs="Calibri"/>
          <w:sz w:val="24"/>
          <w:szCs w:val="24"/>
          <w:lang w:val="en-US"/>
        </w:rPr>
        <w:t xml:space="preserve">in </w:t>
      </w:r>
      <w:r>
        <w:rPr>
          <w:rFonts w:cs="Calibri"/>
          <w:sz w:val="24"/>
          <w:szCs w:val="24"/>
          <w:lang w:val="en-US"/>
        </w:rPr>
        <w:t xml:space="preserve">two </w:t>
      </w:r>
      <w:r w:rsidR="00D60EE9">
        <w:rPr>
          <w:rFonts w:cs="Calibri"/>
          <w:sz w:val="24"/>
          <w:szCs w:val="24"/>
          <w:lang w:val="en-US"/>
        </w:rPr>
        <w:t xml:space="preserve">large </w:t>
      </w:r>
      <w:r>
        <w:rPr>
          <w:rFonts w:cs="Calibri"/>
          <w:sz w:val="24"/>
          <w:szCs w:val="24"/>
          <w:lang w:val="en-US"/>
        </w:rPr>
        <w:t>samples of young (</w:t>
      </w:r>
      <w:r w:rsidRPr="003B5B31">
        <w:rPr>
          <w:rFonts w:cs="Calibri"/>
          <w:sz w:val="24"/>
          <w:szCs w:val="24"/>
          <w:lang w:val="en-US"/>
        </w:rPr>
        <w:t>N = 106</w:t>
      </w:r>
      <w:r>
        <w:rPr>
          <w:rFonts w:cs="Calibri"/>
          <w:sz w:val="24"/>
          <w:szCs w:val="24"/>
          <w:lang w:val="en-US"/>
        </w:rPr>
        <w:t>) and older (</w:t>
      </w:r>
      <w:r w:rsidRPr="003B5B31">
        <w:rPr>
          <w:rFonts w:cs="Calibri"/>
          <w:sz w:val="24"/>
          <w:szCs w:val="24"/>
          <w:lang w:val="en-US"/>
        </w:rPr>
        <w:t>N = 153</w:t>
      </w:r>
      <w:r>
        <w:rPr>
          <w:rFonts w:cs="Calibri"/>
          <w:sz w:val="24"/>
          <w:szCs w:val="24"/>
          <w:lang w:val="en-US"/>
        </w:rPr>
        <w:t>) adults.</w:t>
      </w:r>
    </w:p>
    <w:p w14:paraId="5701D816" w14:textId="77777777" w:rsidR="000E43A9" w:rsidRDefault="000E43A9">
      <w:pPr>
        <w:spacing w:after="0" w:line="360" w:lineRule="auto"/>
        <w:jc w:val="both"/>
        <w:rPr>
          <w:sz w:val="24"/>
          <w:szCs w:val="24"/>
          <w:lang w:val="en-US"/>
        </w:rPr>
      </w:pPr>
    </w:p>
    <w:p w14:paraId="7CCBAD43" w14:textId="77777777" w:rsidR="000E43A9" w:rsidRDefault="00613DD8">
      <w:p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Methods:</w:t>
      </w:r>
    </w:p>
    <w:p w14:paraId="2CC2EB69" w14:textId="51E32BEF" w:rsidR="000E43A9" w:rsidRDefault="00613DD8">
      <w:p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analyzed MRI data from 106 young (18-35 yrs, 47/59 m/f) and 153 older (51-80 yrs, 59/94 m/f) subjects that performed a visual incidental memory task [4,5,6]. In the encoding session, 88 novel and 44 familiar</w:t>
      </w:r>
      <w:r w:rsidR="00D60EE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images were presented and subjects performed an indoor-outdoor judgement</w:t>
      </w:r>
      <w:r w:rsidR="003B5B31">
        <w:rPr>
          <w:sz w:val="24"/>
          <w:szCs w:val="24"/>
          <w:lang w:val="en-US"/>
        </w:rPr>
        <w:t>. I</w:t>
      </w:r>
      <w:r>
        <w:rPr>
          <w:sz w:val="24"/>
          <w:szCs w:val="24"/>
          <w:lang w:val="en-US"/>
        </w:rPr>
        <w:t xml:space="preserve">n the retrieval session, the 88 novel, now old and 44 unseen, now new images were shown and subjects provided a recognition-confidence rating (ranging from 1 for “sure new” over 3 </w:t>
      </w:r>
      <w:r w:rsidR="00D60EE9">
        <w:rPr>
          <w:sz w:val="24"/>
          <w:szCs w:val="24"/>
          <w:lang w:val="en-US"/>
        </w:rPr>
        <w:t xml:space="preserve">for </w:t>
      </w:r>
      <w:r>
        <w:rPr>
          <w:sz w:val="24"/>
          <w:szCs w:val="24"/>
          <w:lang w:val="en-US"/>
        </w:rPr>
        <w:t xml:space="preserve">“undecided” to 5 for “sure old”). fMRI signals were measured during the encoding session and acquired using the exact same protocol as </w:t>
      </w:r>
      <w:r w:rsidR="003B5B31">
        <w:rPr>
          <w:sz w:val="24"/>
          <w:szCs w:val="24"/>
          <w:lang w:val="en-US"/>
        </w:rPr>
        <w:t xml:space="preserve">the one used </w:t>
      </w:r>
      <w:r>
        <w:rPr>
          <w:sz w:val="24"/>
          <w:szCs w:val="24"/>
          <w:lang w:val="en-US"/>
        </w:rPr>
        <w:t>in the ongoing DELCODE study</w:t>
      </w:r>
      <w:r w:rsidR="003B5B31">
        <w:rPr>
          <w:sz w:val="24"/>
          <w:szCs w:val="24"/>
          <w:lang w:val="en-US"/>
        </w:rPr>
        <w:t xml:space="preserve"> [3]</w:t>
      </w:r>
      <w:r>
        <w:rPr>
          <w:sz w:val="24"/>
          <w:szCs w:val="24"/>
          <w:lang w:val="en-US"/>
        </w:rPr>
        <w:t>.</w:t>
      </w:r>
    </w:p>
    <w:p w14:paraId="4CCDEF97" w14:textId="1BFF5D21" w:rsidR="000E43A9" w:rsidRDefault="00613DD8">
      <w:p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From </w:t>
      </w:r>
      <w:r w:rsidR="00C46D5D">
        <w:rPr>
          <w:sz w:val="24"/>
          <w:szCs w:val="24"/>
          <w:lang w:val="en-US"/>
        </w:rPr>
        <w:t>our</w:t>
      </w:r>
      <w:r w:rsidR="00C46D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subjects, we used as target variables for predictive analyses: age group (young vs. older), chronological age (in years) and memory performance (measured as AUC in an ROC analysis [6, p. 18]). As source variables for predictive analyses, we extracted: (i) behavioral </w:t>
      </w:r>
      <w:r>
        <w:rPr>
          <w:sz w:val="24"/>
          <w:szCs w:val="24"/>
          <w:lang w:val="en-US"/>
        </w:rPr>
        <w:lastRenderedPageBreak/>
        <w:t>response frequencies, i.e. fractions of responses 1-5 for old vs. new items [4, tab. S2]; (ii) voxel-wise fMRI activity related to novelty processing (novel vs. familiar images) and subsequent memory (later remembered vs. forgotten novel items) [5</w:t>
      </w:r>
      <w:r w:rsidR="003A2850">
        <w:rPr>
          <w:sz w:val="24"/>
          <w:szCs w:val="24"/>
          <w:lang w:val="en-US"/>
        </w:rPr>
        <w:t>, fig. 7</w:t>
      </w:r>
      <w:r>
        <w:rPr>
          <w:sz w:val="24"/>
          <w:szCs w:val="24"/>
          <w:lang w:val="en-US"/>
        </w:rPr>
        <w:t xml:space="preserve">]; (iii) two fMRI summary statistics </w:t>
      </w:r>
      <w:r w:rsidR="00D60EE9">
        <w:rPr>
          <w:sz w:val="24"/>
          <w:szCs w:val="24"/>
          <w:lang w:val="en-US"/>
        </w:rPr>
        <w:t xml:space="preserve">(FADE </w:t>
      </w:r>
      <w:r w:rsidR="00C46D5D">
        <w:rPr>
          <w:sz w:val="24"/>
          <w:szCs w:val="24"/>
          <w:lang w:val="en-US"/>
        </w:rPr>
        <w:t>&amp;</w:t>
      </w:r>
      <w:r w:rsidR="00C46D5D">
        <w:rPr>
          <w:sz w:val="24"/>
          <w:szCs w:val="24"/>
          <w:lang w:val="en-US"/>
        </w:rPr>
        <w:t xml:space="preserve"> </w:t>
      </w:r>
      <w:r w:rsidR="00D60EE9">
        <w:rPr>
          <w:sz w:val="24"/>
          <w:szCs w:val="24"/>
          <w:lang w:val="en-US"/>
        </w:rPr>
        <w:t xml:space="preserve">SAME score) </w:t>
      </w:r>
      <w:r>
        <w:rPr>
          <w:sz w:val="24"/>
          <w:szCs w:val="24"/>
          <w:lang w:val="en-US"/>
        </w:rPr>
        <w:t xml:space="preserve">computed from these contrasts [6,7]; (iv) voxel-wise percent of amplitude fluctuation (PerAF), computed from resting-state </w:t>
      </w:r>
      <w:r w:rsidR="00C46D5D">
        <w:rPr>
          <w:sz w:val="24"/>
          <w:szCs w:val="24"/>
          <w:lang w:val="en-US"/>
        </w:rPr>
        <w:t>scans</w:t>
      </w:r>
      <w:r w:rsidR="00C46D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acquired </w:t>
      </w:r>
      <w:r w:rsidR="00E767DC">
        <w:rPr>
          <w:sz w:val="24"/>
          <w:szCs w:val="24"/>
          <w:lang w:val="en-US"/>
        </w:rPr>
        <w:t xml:space="preserve">directly </w:t>
      </w:r>
      <w:r w:rsidR="00BE6516">
        <w:rPr>
          <w:sz w:val="24"/>
          <w:szCs w:val="24"/>
          <w:lang w:val="en-US"/>
        </w:rPr>
        <w:t>before</w:t>
      </w:r>
      <w:r>
        <w:rPr>
          <w:sz w:val="24"/>
          <w:szCs w:val="24"/>
          <w:lang w:val="en-US"/>
        </w:rPr>
        <w:t xml:space="preserve"> the task; and (v) voxel-wise gray matter volume (GMV), estimated with voxel-based morphometry (VBM) </w:t>
      </w:r>
      <w:r w:rsidR="00B33141">
        <w:rPr>
          <w:sz w:val="24"/>
          <w:szCs w:val="24"/>
          <w:lang w:val="en-US"/>
        </w:rPr>
        <w:t>from</w:t>
      </w:r>
      <w:r>
        <w:rPr>
          <w:sz w:val="24"/>
          <w:szCs w:val="24"/>
          <w:lang w:val="en-US"/>
        </w:rPr>
        <w:t xml:space="preserve"> T1-weighted MPRAGE images.</w:t>
      </w:r>
    </w:p>
    <w:p w14:paraId="136D4289" w14:textId="77777777" w:rsidR="000E43A9" w:rsidRDefault="00613DD8">
      <w:p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Target variables were predicted with support vector machines (SVC, SVR), using a cost parameter of C = 1 and 10-fold cross-validation on subjects per group. For continuous target variables, distributional transformation (DT) [9] was applied after prediction.</w:t>
      </w:r>
    </w:p>
    <w:p w14:paraId="619E2A9B" w14:textId="77777777" w:rsidR="000E43A9" w:rsidRDefault="000E43A9">
      <w:pPr>
        <w:spacing w:after="0" w:line="360" w:lineRule="auto"/>
        <w:jc w:val="both"/>
        <w:rPr>
          <w:sz w:val="24"/>
          <w:szCs w:val="24"/>
          <w:lang w:val="en-US"/>
        </w:rPr>
      </w:pPr>
    </w:p>
    <w:p w14:paraId="0BD555ED" w14:textId="77777777" w:rsidR="000E43A9" w:rsidRDefault="00613DD8">
      <w:pPr>
        <w:spacing w:after="0" w:line="360" w:lineRule="auto"/>
        <w:jc w:val="both"/>
        <w:rPr>
          <w:color w:val="FF0000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Results:</w:t>
      </w:r>
    </w:p>
    <w:p w14:paraId="124E21DE" w14:textId="49171399" w:rsidR="000E43A9" w:rsidRDefault="00613DD8">
      <w:p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First, we validate that age group can be decoded from all source variables, with a clear hierarchy from behavioral over functional to structural variables (see Figure 1A). Second, we find that within age groups, structural MRI (</w:t>
      </w:r>
      <w:r w:rsidR="00B33141">
        <w:rPr>
          <w:sz w:val="24"/>
          <w:szCs w:val="24"/>
          <w:lang w:val="en-US"/>
        </w:rPr>
        <w:t>VBM-</w:t>
      </w:r>
      <w:r>
        <w:rPr>
          <w:sz w:val="24"/>
          <w:szCs w:val="24"/>
          <w:lang w:val="en-US"/>
        </w:rPr>
        <w:t xml:space="preserve">estimated </w:t>
      </w:r>
      <w:r w:rsidR="00B33141">
        <w:rPr>
          <w:sz w:val="24"/>
          <w:szCs w:val="24"/>
          <w:lang w:val="en-US"/>
        </w:rPr>
        <w:t>GMV</w:t>
      </w:r>
      <w:r>
        <w:rPr>
          <w:sz w:val="24"/>
          <w:szCs w:val="24"/>
          <w:lang w:val="en-US"/>
        </w:rPr>
        <w:t>) is superior at predicting chronological age (see Figure 1B). Third, we find that memory performance is best predicted from task-</w:t>
      </w:r>
      <w:r w:rsidR="00B33141">
        <w:rPr>
          <w:sz w:val="24"/>
          <w:szCs w:val="24"/>
          <w:lang w:val="en-US"/>
        </w:rPr>
        <w:t xml:space="preserve">based </w:t>
      </w:r>
      <w:r>
        <w:rPr>
          <w:sz w:val="24"/>
          <w:szCs w:val="24"/>
          <w:lang w:val="en-US"/>
        </w:rPr>
        <w:t>fMRI and particularly fMRI summary statistics (see Figure 1C).</w:t>
      </w:r>
    </w:p>
    <w:p w14:paraId="5A760109" w14:textId="30BD74DE" w:rsidR="000E43A9" w:rsidRDefault="00613DD8">
      <w:p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follow up on these findings, we performed sub-group analyses in the older subjects</w:t>
      </w:r>
      <w:r w:rsidR="00B33141">
        <w:rPr>
          <w:sz w:val="24"/>
          <w:szCs w:val="24"/>
          <w:lang w:val="en-US"/>
        </w:rPr>
        <w:t xml:space="preserve"> and</w:t>
      </w:r>
      <w:r>
        <w:rPr>
          <w:sz w:val="24"/>
          <w:szCs w:val="24"/>
          <w:lang w:val="en-US"/>
        </w:rPr>
        <w:t xml:space="preserve"> found a double-dissociation between structural MRI </w:t>
      </w:r>
      <w:r w:rsidR="00B3314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and resting-state fMRI</w:t>
      </w:r>
      <w:r w:rsidR="00B33141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vs. </w:t>
      </w:r>
      <w:r w:rsidR="00B33141">
        <w:rPr>
          <w:sz w:val="24"/>
          <w:szCs w:val="24"/>
          <w:lang w:val="en-US"/>
        </w:rPr>
        <w:t xml:space="preserve">functional </w:t>
      </w:r>
      <w:r>
        <w:rPr>
          <w:sz w:val="24"/>
          <w:szCs w:val="24"/>
          <w:lang w:val="en-US"/>
        </w:rPr>
        <w:t>MRI and age vs. memory: (i) when partitioning subjects by chronological age, there are no significant effects on task-</w:t>
      </w:r>
      <w:r w:rsidR="00B33141">
        <w:rPr>
          <w:sz w:val="24"/>
          <w:szCs w:val="24"/>
          <w:lang w:val="en-US"/>
        </w:rPr>
        <w:t xml:space="preserve">based </w:t>
      </w:r>
      <w:r>
        <w:rPr>
          <w:sz w:val="24"/>
          <w:szCs w:val="24"/>
          <w:lang w:val="en-US"/>
        </w:rPr>
        <w:t xml:space="preserve">fMRI, but </w:t>
      </w:r>
      <w:r w:rsidR="00B33141">
        <w:rPr>
          <w:sz w:val="24"/>
          <w:szCs w:val="24"/>
          <w:lang w:val="en-US"/>
        </w:rPr>
        <w:t>strong</w:t>
      </w:r>
      <w:r>
        <w:rPr>
          <w:sz w:val="24"/>
          <w:szCs w:val="24"/>
          <w:lang w:val="en-US"/>
        </w:rPr>
        <w:t xml:space="preserve"> differences in GMV (see Figure 2A); and (ii) when partitioning subjects by memory performance, there are no significant effects on structural MRI, but robust differences in memory-related </w:t>
      </w:r>
      <w:r w:rsidR="00B33141">
        <w:rPr>
          <w:sz w:val="24"/>
          <w:szCs w:val="24"/>
          <w:lang w:val="en-US"/>
        </w:rPr>
        <w:t>brain</w:t>
      </w:r>
      <w:r>
        <w:rPr>
          <w:sz w:val="24"/>
          <w:szCs w:val="24"/>
          <w:lang w:val="en-US"/>
        </w:rPr>
        <w:t xml:space="preserve"> activity (see Figure 2B).</w:t>
      </w:r>
    </w:p>
    <w:p w14:paraId="7C12A9BB" w14:textId="77777777" w:rsidR="000E43A9" w:rsidRPr="00BE6516" w:rsidRDefault="000E43A9">
      <w:pPr>
        <w:spacing w:after="0" w:line="360" w:lineRule="auto"/>
        <w:jc w:val="both"/>
        <w:rPr>
          <w:sz w:val="24"/>
          <w:lang w:val="en-US"/>
        </w:rPr>
      </w:pPr>
    </w:p>
    <w:p w14:paraId="7306679D" w14:textId="77777777" w:rsidR="000E43A9" w:rsidRDefault="00613DD8">
      <w:p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Discussion:</w:t>
      </w:r>
    </w:p>
    <w:p w14:paraId="57C1D577" w14:textId="79842AFB" w:rsidR="000E43A9" w:rsidRDefault="00613DD8">
      <w:p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Our results suggest that older adults with memory performance comparable to young subjects, are not characterized by fewer structural differences from, but higher functional similarities with young subjects</w:t>
      </w:r>
      <w:r w:rsidR="003A285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(cf. Figure 2) [8]. </w:t>
      </w:r>
      <w:r w:rsidR="003A2850">
        <w:rPr>
          <w:sz w:val="24"/>
          <w:szCs w:val="24"/>
          <w:lang w:val="en-US"/>
        </w:rPr>
        <w:t>It is also noteworthy that resting-state fMRI behaved more similar to structural MRI than task-based fMRI (cf. Figure 1A</w:t>
      </w:r>
      <w:r w:rsidR="005B7FA9">
        <w:rPr>
          <w:sz w:val="24"/>
          <w:szCs w:val="24"/>
          <w:lang w:val="en-US"/>
        </w:rPr>
        <w:t>/</w:t>
      </w:r>
      <w:r w:rsidR="003A2850">
        <w:rPr>
          <w:sz w:val="24"/>
          <w:szCs w:val="24"/>
          <w:lang w:val="en-US"/>
        </w:rPr>
        <w:t>2A).</w:t>
      </w:r>
      <w:r>
        <w:rPr>
          <w:sz w:val="24"/>
          <w:szCs w:val="24"/>
          <w:lang w:val="en-US"/>
        </w:rPr>
        <w:t xml:space="preserve"> In future work, we want to evaluate these feature sets for differentiating between clinical memory-impaired populations, e.g. different stages of Alzheimer’s disease [</w:t>
      </w:r>
      <w:r w:rsidR="003A2850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>].</w:t>
      </w:r>
    </w:p>
    <w:p w14:paraId="42271191" w14:textId="77777777" w:rsidR="000E43A9" w:rsidRDefault="000E43A9">
      <w:pPr>
        <w:spacing w:after="0" w:line="360" w:lineRule="auto"/>
        <w:jc w:val="both"/>
        <w:rPr>
          <w:sz w:val="24"/>
          <w:szCs w:val="24"/>
          <w:lang w:val="en-US"/>
        </w:rPr>
      </w:pPr>
    </w:p>
    <w:p w14:paraId="6FD9D19F" w14:textId="77777777" w:rsidR="000E43A9" w:rsidRDefault="00613DD8">
      <w:pPr>
        <w:spacing w:after="0" w:line="336" w:lineRule="auto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 w:type="page"/>
      </w:r>
      <w:r>
        <w:rPr>
          <w:b/>
          <w:sz w:val="24"/>
          <w:szCs w:val="24"/>
          <w:lang w:val="en-US"/>
        </w:rPr>
        <w:lastRenderedPageBreak/>
        <w:t>References:</w:t>
      </w:r>
    </w:p>
    <w:p w14:paraId="124BBAD3" w14:textId="77777777" w:rsidR="000E43A9" w:rsidRDefault="00613DD8">
      <w:pPr>
        <w:numPr>
          <w:ilvl w:val="0"/>
          <w:numId w:val="1"/>
        </w:numPr>
        <w:spacing w:after="0" w:line="336" w:lineRule="auto"/>
        <w:ind w:left="567" w:hanging="567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Cabeza R, Albert M, Belleville S, Craik FIM, Duarte A, […], Park DC, Reuter-Lorenz PA, Rugg MD, Steffener J, Rajah MN (2018). </w:t>
      </w:r>
      <w:r>
        <w:rPr>
          <w:sz w:val="24"/>
          <w:szCs w:val="24"/>
          <w:lang w:val="en-US"/>
        </w:rPr>
        <w:t>Maintenance, reserve and compensation: the cognitive neuroscience of healthy ageing. Nat. Rev. Neurosci. 19:701-710. doi:10.1038/s41583-018-0068-2.</w:t>
      </w:r>
    </w:p>
    <w:p w14:paraId="7E4AE014" w14:textId="77777777" w:rsidR="000E43A9" w:rsidRDefault="00613DD8">
      <w:pPr>
        <w:numPr>
          <w:ilvl w:val="0"/>
          <w:numId w:val="1"/>
        </w:numPr>
        <w:spacing w:after="0" w:line="336" w:lineRule="auto"/>
        <w:ind w:left="567" w:hanging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Woodard, JL, Seidenberg M, Nielson KA, Smith JC, Antuono P, [...], Zhang Q, Butts A, Hantke N, Lancaster M, Rao SM (2010). Prediction of cognitive decline in healthy older adults using fMRI. J. Alzheimer’s Dis. 21:871-885. doi:10.3233/JAD-2010-091693.</w:t>
      </w:r>
    </w:p>
    <w:p w14:paraId="19835EA5" w14:textId="77777777" w:rsidR="000E43A9" w:rsidRDefault="00613DD8">
      <w:pPr>
        <w:numPr>
          <w:ilvl w:val="0"/>
          <w:numId w:val="1"/>
        </w:numPr>
        <w:spacing w:after="0" w:line="336" w:lineRule="auto"/>
        <w:ind w:left="567" w:hanging="567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Jessen F, Spottke A, Boecker H, Brosseron F, Buerger K, [...], Westerteicher C, Wiltfang J, Wolfsgruber S, Wagner M, Düzel E (2018). </w:t>
      </w:r>
      <w:r>
        <w:rPr>
          <w:sz w:val="24"/>
          <w:szCs w:val="24"/>
          <w:lang w:val="en-US"/>
        </w:rPr>
        <w:t>Design and first baseline data of the DZNE multicenter observational study on predementia Alzheimer’s disease (DELCODE). Alzheimer’s Res Ther 10:1-10. doi:10.1186/s13195-017-0314-2</w:t>
      </w:r>
    </w:p>
    <w:p w14:paraId="5FD2B1B0" w14:textId="77777777" w:rsidR="000E43A9" w:rsidRDefault="00613DD8">
      <w:pPr>
        <w:numPr>
          <w:ilvl w:val="0"/>
          <w:numId w:val="1"/>
        </w:numPr>
        <w:spacing w:after="0" w:line="336" w:lineRule="auto"/>
        <w:ind w:left="567" w:hanging="567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Düzel E, Schütze H, Yonelinas AP, Heinze HJ (2011). </w:t>
      </w:r>
      <w:r>
        <w:rPr>
          <w:sz w:val="24"/>
          <w:szCs w:val="24"/>
          <w:lang w:val="en-US"/>
        </w:rPr>
        <w:t>Functional phenotyping of successful aging in long-term memory: Preserved performance in the absence of neural compensation. Hippocampus 21:803-814. doi:10.1002/hipo.20834</w:t>
      </w:r>
    </w:p>
    <w:p w14:paraId="30F78D4C" w14:textId="77777777" w:rsidR="000E43A9" w:rsidRDefault="00613DD8">
      <w:pPr>
        <w:numPr>
          <w:ilvl w:val="0"/>
          <w:numId w:val="1"/>
        </w:numPr>
        <w:spacing w:after="0" w:line="336" w:lineRule="auto"/>
        <w:ind w:left="567" w:hanging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Soch J*, Richter A*, Schütze H, Kizilirmak JM, Assmann A, [...], Maass A, Ziegler G, Richardson-Klavehn A, Düzel E, Schott BH (2021). Bayesian model selection favors parametric over categorical fMRI subsequent memory models in young and older adults. NeuroImage 230:117820. doi:10.1101/2020.07.27.220871</w:t>
      </w:r>
    </w:p>
    <w:p w14:paraId="23F466B7" w14:textId="77777777" w:rsidR="000E43A9" w:rsidRDefault="00613DD8">
      <w:pPr>
        <w:numPr>
          <w:ilvl w:val="0"/>
          <w:numId w:val="1"/>
        </w:numPr>
        <w:spacing w:after="0" w:line="336" w:lineRule="auto"/>
        <w:ind w:left="567" w:hanging="567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Soch J*, Richter A*, Schütze H, Kizilirmak JM, Assmann A, [...], Yakupov R, Ziegler G, Wiltfang J, Düzel E, Schott BH (2021). </w:t>
      </w:r>
      <w:r>
        <w:rPr>
          <w:sz w:val="24"/>
          <w:szCs w:val="24"/>
          <w:lang w:val="en-US"/>
        </w:rPr>
        <w:t>A comprehensive score reflecting memory-related fMRI activations and deactivations as potential biomarker for neurocognitive aging. Human Brain Mapping 42:4478-4996. doi:10.1002/hbm.25559</w:t>
      </w:r>
    </w:p>
    <w:p w14:paraId="7215469B" w14:textId="77777777" w:rsidR="000E43A9" w:rsidRDefault="00613DD8">
      <w:pPr>
        <w:numPr>
          <w:ilvl w:val="0"/>
          <w:numId w:val="1"/>
        </w:numPr>
        <w:spacing w:after="0" w:line="336" w:lineRule="auto"/>
        <w:ind w:left="567" w:hanging="567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Richter A, Soch J, Kizilirmak JM, Fischer L, Schütze H, […], Schult A, Seidenbecher CI, Yakupov R, Düzel R (in prep.). </w:t>
      </w:r>
      <w:r>
        <w:rPr>
          <w:sz w:val="24"/>
          <w:szCs w:val="24"/>
          <w:lang w:val="en-US"/>
        </w:rPr>
        <w:t>Summary statistics of memory-related fMRI activations and deactivations reflect dissociable neuropsychological and structural anatomical signatures of neurocognitive aging. Manuscript, in preparation.</w:t>
      </w:r>
    </w:p>
    <w:p w14:paraId="35429721" w14:textId="77777777" w:rsidR="000E43A9" w:rsidRDefault="00613DD8">
      <w:pPr>
        <w:numPr>
          <w:ilvl w:val="0"/>
          <w:numId w:val="1"/>
        </w:numPr>
        <w:spacing w:after="0" w:line="336" w:lineRule="auto"/>
        <w:ind w:left="567" w:hanging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Soch J*, Richter A*, Kizilirmak JM, Schütze H, Feldhoff H, […] Knopf L, Raschick M, Schult A, Düzel E, Schott BH (in prep.). </w:t>
      </w:r>
      <w:r>
        <w:rPr>
          <w:sz w:val="24"/>
          <w:szCs w:val="24"/>
          <w:lang w:val="en-US"/>
        </w:rPr>
        <w:t>Structural and functional MRI data differentially predict chronological age and behavioral memory performance. Manuscript, in preparation.</w:t>
      </w:r>
    </w:p>
    <w:p w14:paraId="56AC9957" w14:textId="77777777" w:rsidR="000E43A9" w:rsidRDefault="00613DD8">
      <w:pPr>
        <w:numPr>
          <w:ilvl w:val="0"/>
          <w:numId w:val="1"/>
        </w:numPr>
        <w:spacing w:after="0" w:line="336" w:lineRule="auto"/>
        <w:ind w:left="567" w:hanging="567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US"/>
        </w:rPr>
        <w:t>Soch J (2020). Distributional Transformation Improves Decoding Accuracy When Predicting Chronological Age From Structural MRI. Frontiers in Psychiatry, 11:604268. doi:10.3389/fpsyt.2020.604268.</w:t>
      </w:r>
    </w:p>
    <w:p w14:paraId="36837BF8" w14:textId="77777777" w:rsidR="000E43A9" w:rsidRDefault="00613DD8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6D379901" w14:textId="67195E06" w:rsidR="000E43A9" w:rsidRDefault="00545DAE">
      <w:pPr>
        <w:spacing w:after="0" w:line="336" w:lineRule="auto"/>
        <w:jc w:val="both"/>
        <w:rPr>
          <w:sz w:val="24"/>
          <w:szCs w:val="24"/>
          <w:lang w:val="en-GB"/>
        </w:rPr>
      </w:pPr>
      <w:r>
        <w:rPr>
          <w:noProof/>
          <w:sz w:val="24"/>
          <w:lang w:val="en-GB" w:eastAsia="en-GB"/>
        </w:rPr>
        <w:lastRenderedPageBreak/>
        <w:drawing>
          <wp:inline distT="0" distB="0" distL="0" distR="0" wp14:anchorId="4A47CBCE" wp14:editId="0133CE23">
            <wp:extent cx="5760720" cy="7818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_2021_12_1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B93F" w14:textId="2C725144" w:rsidR="000E43A9" w:rsidRDefault="00545DAE">
      <w:pPr>
        <w:spacing w:after="0" w:line="336" w:lineRule="auto"/>
        <w:jc w:val="both"/>
        <w:rPr>
          <w:sz w:val="24"/>
          <w:szCs w:val="24"/>
          <w:lang w:val="en-GB"/>
        </w:rPr>
      </w:pPr>
      <w:r>
        <w:rPr>
          <w:noProof/>
          <w:sz w:val="24"/>
          <w:lang w:val="en-GB" w:eastAsia="en-GB"/>
        </w:rPr>
        <w:lastRenderedPageBreak/>
        <w:drawing>
          <wp:inline distT="0" distB="0" distL="0" distR="0" wp14:anchorId="25EDE5DF" wp14:editId="34FAFDC8">
            <wp:extent cx="5760720" cy="617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2_2021_12_1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3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198DA" w16cex:dateUtc="2021-12-13T08:58:00Z"/>
  <w16cex:commentExtensible w16cex:durableId="255E558F" w16cex:dateUtc="2021-12-10T21:39:00Z"/>
  <w16cex:commentExtensible w16cex:durableId="256198DB" w16cex:dateUtc="2021-12-13T08:21:00Z"/>
  <w16cex:commentExtensible w16cex:durableId="255E5574" w16cex:dateUtc="2021-12-10T21:38:00Z"/>
  <w16cex:commentExtensible w16cex:durableId="256198DC" w16cex:dateUtc="2021-12-13T08:24:00Z"/>
  <w16cex:commentExtensible w16cex:durableId="256198DD" w16cex:dateUtc="2021-12-13T08:44:00Z"/>
  <w16cex:commentExtensible w16cex:durableId="256198DE" w16cex:dateUtc="2021-12-13T08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F87CD72" w16cid:durableId="256198DA"/>
  <w16cid:commentId w16cid:paraId="2D3D43C1" w16cid:durableId="255E558F"/>
  <w16cid:commentId w16cid:paraId="7E1018C1" w16cid:durableId="256198DB"/>
  <w16cid:commentId w16cid:paraId="268EEB50" w16cid:durableId="255E5574"/>
  <w16cid:commentId w16cid:paraId="4E0D6754" w16cid:durableId="256198DC"/>
  <w16cid:commentId w16cid:paraId="6F3A6132" w16cid:durableId="256198DD"/>
  <w16cid:commentId w16cid:paraId="1729D8BD" w16cid:durableId="256198D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7807"/>
    <w:multiLevelType w:val="hybridMultilevel"/>
    <w:tmpl w:val="EE524F76"/>
    <w:lvl w:ilvl="0" w:tplc="0944E79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3A9"/>
    <w:rsid w:val="000C119A"/>
    <w:rsid w:val="000E43A9"/>
    <w:rsid w:val="002B6707"/>
    <w:rsid w:val="003A2850"/>
    <w:rsid w:val="003B5B31"/>
    <w:rsid w:val="00441A5E"/>
    <w:rsid w:val="004E5D17"/>
    <w:rsid w:val="00545DAE"/>
    <w:rsid w:val="005B7FA9"/>
    <w:rsid w:val="00613DD8"/>
    <w:rsid w:val="006E3D7A"/>
    <w:rsid w:val="007979CC"/>
    <w:rsid w:val="00B33141"/>
    <w:rsid w:val="00BE6516"/>
    <w:rsid w:val="00C46D5D"/>
    <w:rsid w:val="00D60EE9"/>
    <w:rsid w:val="00E767DC"/>
    <w:rsid w:val="00EB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9BDA2D"/>
  <w15:chartTrackingRefBased/>
  <w15:docId w15:val="{311CDAA7-FCE5-489A-96EC-534FB0F2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Pr>
      <w:color w:val="954F72"/>
      <w:u w:val="single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BalloonTextChar">
    <w:name w:val="Balloon Text Char"/>
    <w:link w:val="BalloonText"/>
    <w:uiPriority w:val="99"/>
    <w:semiHidden/>
    <w:rPr>
      <w:rFonts w:ascii="Segoe UI" w:hAnsi="Segoe UI" w:cs="Segoe UI"/>
      <w:sz w:val="18"/>
      <w:szCs w:val="18"/>
      <w:lang w:eastAsia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pPr>
      <w:spacing w:after="0" w:line="360" w:lineRule="auto"/>
      <w:jc w:val="both"/>
    </w:pPr>
    <w:rPr>
      <w:rFonts w:ascii="Times" w:eastAsia="SimSun" w:hAnsi="Times" w:cs="Times"/>
      <w:sz w:val="20"/>
      <w:szCs w:val="20"/>
      <w:lang w:val="en-US" w:bidi="en-US"/>
    </w:rPr>
  </w:style>
  <w:style w:type="character" w:customStyle="1" w:styleId="NoSpacingChar">
    <w:name w:val="No Spacing Char"/>
    <w:link w:val="NoSpacing"/>
    <w:uiPriority w:val="1"/>
    <w:rPr>
      <w:rFonts w:ascii="Times" w:eastAsia="SimSun" w:hAnsi="Times" w:cs="Times"/>
      <w:lang w:val="en-US" w:eastAsia="en-US" w:bidi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3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85B9F-2408-41FE-B867-A230FF390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1079</Words>
  <Characters>6156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Joram Soch</dc:creator>
  <cp:keywords/>
  <dc:description/>
  <cp:lastModifiedBy>Joram Soch</cp:lastModifiedBy>
  <cp:revision>14</cp:revision>
  <cp:lastPrinted>2019-12-17T10:22:00Z</cp:lastPrinted>
  <dcterms:created xsi:type="dcterms:W3CDTF">2021-12-10T23:15:00Z</dcterms:created>
  <dcterms:modified xsi:type="dcterms:W3CDTF">2021-12-17T09:21:00Z</dcterms:modified>
</cp:coreProperties>
</file>