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08759" cy="150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5000.02 </w:t>
      </w:r>
    </w:p>
    <w:p>
      <w:pPr>
        <w:autoSpaceDN w:val="0"/>
        <w:autoSpaceDE w:val="0"/>
        <w:widowControl/>
        <w:spacing w:line="233" w:lineRule="auto" w:before="256" w:after="29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PERATION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DAPTIVE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RAMEWORK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80"/>
        <w:gridCol w:w="5080"/>
      </w:tblGrid>
      <w:tr>
        <w:trPr>
          <w:trHeight w:hRule="exact" w:val="1958"/>
        </w:trPr>
        <w:tc>
          <w:tcPr>
            <w:tcW w:type="dxa" w:w="27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auto" w:before="304" w:after="0"/>
              <w:ind w:left="3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Originating Component: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Effective: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Change 1 Effective: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Releasability:</w:t>
            </w:r>
          </w:p>
        </w:tc>
        <w:tc>
          <w:tcPr>
            <w:tcW w:type="dxa" w:w="74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auto" w:before="30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 of the Under Secretary of Defense for Acquisition and Sustainment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23, 2020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8, 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Cleared for public release.  Available on the Directives Division Website 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0" w:right="40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https://www.esd.whs.mil/DD/. </w:t>
      </w:r>
    </w:p>
    <w:p>
      <w:pPr>
        <w:autoSpaceDN w:val="0"/>
        <w:tabs>
          <w:tab w:pos="2910" w:val="left"/>
        </w:tabs>
        <w:autoSpaceDE w:val="0"/>
        <w:widowControl/>
        <w:spacing w:line="230" w:lineRule="auto" w:before="286" w:after="0"/>
        <w:ind w:left="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Reissues and Cancels: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See Paragraph 1.4. </w:t>
      </w:r>
    </w:p>
    <w:p>
      <w:pPr>
        <w:autoSpaceDN w:val="0"/>
        <w:tabs>
          <w:tab w:pos="2910" w:val="left"/>
        </w:tabs>
        <w:autoSpaceDE w:val="0"/>
        <w:widowControl/>
        <w:spacing w:line="245" w:lineRule="auto" w:before="346" w:after="0"/>
        <w:ind w:left="3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Approved by: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Ellen M. Lord, Under Secretary of Defense for Acquisition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Sustainment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Change 1 Approved by: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William A. LaPlante, Under Secretary of Defense for Acquisition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Sustainment </w:t>
      </w:r>
    </w:p>
    <w:p>
      <w:pPr>
        <w:autoSpaceDN w:val="0"/>
        <w:autoSpaceDE w:val="0"/>
        <w:widowControl/>
        <w:spacing w:line="245" w:lineRule="auto" w:before="652" w:after="0"/>
        <w:ind w:left="3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Purpose: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the authority in DoD Directive (DoDD) 5135.02 and the December 20,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Deputy Secretary of Defense (DepSecDef) Memorandum, this issuance: </w:t>
      </w:r>
    </w:p>
    <w:p>
      <w:pPr>
        <w:autoSpaceDN w:val="0"/>
        <w:autoSpaceDE w:val="0"/>
        <w:widowControl/>
        <w:spacing w:line="245" w:lineRule="auto" w:before="120" w:after="0"/>
        <w:ind w:left="30" w:right="432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Establishes policy and prescribes procedures for managing acquisition programs, pursuant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sections of Title 10, United States Code. </w:t>
      </w:r>
    </w:p>
    <w:p>
      <w:pPr>
        <w:autoSpaceDN w:val="0"/>
        <w:autoSpaceDE w:val="0"/>
        <w:widowControl/>
        <w:spacing w:line="245" w:lineRule="auto" w:before="120" w:after="0"/>
        <w:ind w:left="30" w:right="72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Assigns acquisition program management responsibilities in accordance with the authority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DoDDs 5135.02, 5137.02, and 5000.01. </w:t>
      </w:r>
    </w:p>
    <w:p>
      <w:pPr>
        <w:autoSpaceDN w:val="0"/>
        <w:autoSpaceDE w:val="0"/>
        <w:widowControl/>
        <w:spacing w:line="245" w:lineRule="auto" w:before="118" w:after="0"/>
        <w:ind w:left="30" w:right="129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Describes the responsibilities of principal acquisition officials and the purpose and key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of the acquisition pathways. </w:t>
      </w:r>
    </w:p>
    <w:p>
      <w:pPr>
        <w:autoSpaceDN w:val="0"/>
        <w:autoSpaceDE w:val="0"/>
        <w:widowControl/>
        <w:spacing w:line="245" w:lineRule="auto" w:before="118" w:after="0"/>
        <w:ind w:left="30" w:right="57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Restructures defense acquisition guidance to improve process effectiveness and implement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Acquisition Framework (AAF).  As a result of that restructuring, this issuance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renamed “Operation of the Adaptive Acquisition Framework,” to better reflect the current content. </w:t>
      </w:r>
    </w:p>
    <w:p>
      <w:pPr>
        <w:sectPr>
          <w:pgSz w:w="12240" w:h="15840"/>
          <w:pgMar w:top="360" w:right="1030" w:bottom="1280" w:left="10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331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T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ABLE OF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C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ONTENTS</w:t>
      </w:r>
    </w:p>
    <w:p>
      <w:pPr>
        <w:autoSpaceDN w:val="0"/>
        <w:autoSpaceDE w:val="0"/>
        <w:widowControl/>
        <w:spacing w:line="247" w:lineRule="auto" w:before="284" w:after="0"/>
        <w:ind w:left="0" w:right="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NFORMATION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 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 Applicability. .................................................................................................................... 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 Policy. ............................................................................................................................... 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 Purpose of the AAF. ......................................................................................................... 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1.4.  Transition Plan. ................................................................................................................. 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1.5.  Summary of Change 1. ..................................................................................................... 6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ESPONSIBILITIES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  Under Secretary of Defense for Acquisition and Sustainment (USD(A&amp;S)). 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  Under Secretary of Defense for Research and Engineering (USD(R&amp;E)). 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2.3.  DoD Component Heads. ................................................................................................... 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2.4.  Component Acquisition Executive (CAE). ....................................................................... 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2.5.  Executive Director, Joint Rapid Acquisition Cell. ............................................................ 8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3: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ROGRAM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ANAGEMENT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UTHORITIES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  MDA/DA. 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  Program Executive Officer (PEO). 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  PM. ....................................................................................................................................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  Product Support Manager. 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ROCEDURES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  General Procedures. 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  AAF Pathways. ...............................................................................................................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Urgent Capability Acquisition. 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MTA. ............................................................................................................................ 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Major Capability Acquisition. ...................................................................................... 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Software Acquisition. .................................................................................................. 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Defense Business Systems (DBS) Acquisition. ........................................................... 15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Defense Acquisition of Services. .................................................................................. 16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  Additional Direction. ...................................................................................................... 16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LOSSARY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..................................................................................................................................... 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G.1.  Acronyms. ...................................................................................................................... 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G.2.  Definitions. ..................................................................................................................... 17 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EFERENCES</w:t>
      </w: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 .................................................................................................................................. 18</w:t>
      </w:r>
    </w:p>
    <w:p>
      <w:pPr>
        <w:autoSpaceDN w:val="0"/>
        <w:autoSpaceDE w:val="0"/>
        <w:widowControl/>
        <w:spacing w:line="230" w:lineRule="auto" w:before="2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ABLES</w:t>
      </w:r>
    </w:p>
    <w:p>
      <w:pPr>
        <w:autoSpaceDN w:val="0"/>
        <w:autoSpaceDE w:val="0"/>
        <w:widowControl/>
        <w:spacing w:line="230" w:lineRule="auto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Table 1.  Completed Transition Plan .............................................................................................. 5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F</w:t>
      </w:r>
      <w:r>
        <w:rPr>
          <w:rFonts w:ascii="TimesNewRomanPSMT" w:hAnsi="TimesNewRomanPSMT" w:eastAsia="TimesNewRomanPSMT"/>
          <w:b w:val="0"/>
          <w:i w:val="0"/>
          <w:color w:val="365F91"/>
          <w:sz w:val="19"/>
        </w:rPr>
        <w:t>IGURES</w:t>
      </w:r>
    </w:p>
    <w:p>
      <w:pPr>
        <w:autoSpaceDN w:val="0"/>
        <w:autoSpaceDE w:val="0"/>
        <w:widowControl/>
        <w:spacing w:line="245" w:lineRule="auto" w:before="130" w:after="0"/>
        <w:ind w:left="0" w:right="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1.  AAF ..............................................................................................................................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2.  Urgent Capability Acquisition Pathway 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3.  MTA Pathway .............................................................................................................. 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4.  Major Capability Acquisition Pathway ........................................................................ 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5.  Software Acquisition Pathway ..................................................................................... 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Figure 6.  DBS Pathway................................................................................................................ 15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52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Figure 7.  Acquisition of Services Pathway .................................................................................. 16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130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ABLE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1: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G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ENERAL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SSUANCE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NFORMATION</w:t>
      </w:r>
    </w:p>
    <w:p>
      <w:pPr>
        <w:autoSpaceDN w:val="0"/>
        <w:autoSpaceDE w:val="0"/>
        <w:widowControl/>
        <w:spacing w:line="230" w:lineRule="auto" w:before="4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1.1.  APPLICABILITY.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This issuance applies to OSD, the Military Departments, the Office of the Chairman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Chiefs of Staff and the Joint Staff, the Combatant Commands, the Office of Inspector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of the Department of Defense, the Defense Agencies, the DoD Field Activities, and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organizational entities within the DoD (referred to collectively in this issuance as the “DoD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Components”).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5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The policies in this instruction are applicable to all systems and services acquired via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Acquisition System (DAS).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1.2.  POLICY.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DAS supports the National Defense Strategy through the development of a lethal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force based on U.S. technological innovation and a culture of performance that yields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decisive and sustained U.S. military advantage.  To achieve that objective, the DoD will employ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AAF.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1.3.  PURPOSE OF THE AAF. </w:t>
      </w:r>
    </w:p>
    <w:p>
      <w:pPr>
        <w:autoSpaceDN w:val="0"/>
        <w:autoSpaceDE w:val="0"/>
        <w:widowControl/>
        <w:spacing w:line="245" w:lineRule="auto" w:before="24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AAF supports the DAS with the objective of delivering effective, suitable, survivable,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sustainable, and affordable solutions to the end user in a timely manner.  To achieve those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objectives, Milestone Decision Authorities (MDAs), other Decision Authorities (DAs),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Managers (PMs) have broad authority to plan and manage their programs consistent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sound business practice.  The AAF acquisition pathways provide opportunities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MDAs/DAs and PMs to develop acquisition strategies and employ acquisition processes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match the characteristics of the capability being acquired.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1.4.  TRANSITION PLAN.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lays the groundwork for operation of the AAF, which is part of the DAS described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DoDD 5000.01.  Change 1 to this issuance cancelled the January 7, 2015 version of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 (DoDI) 5000.02; that version was renumbered DoDI 5000.02T (Transition)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transition period to establish a distinction between the two issuances.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5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As agreed to during the 2020 coordination of this issuance, when the AAF realignment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 completed, an administrative change to this issuance (Change 1) cancelled DoDI 5000.02T.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5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Table 1 details the transition plan and the location of information formerly found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7, 2015 edition of DoDI 5000.02. 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10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6" w:after="12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Table 1.  Completed Transition Plan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720"/>
        <w:gridCol w:w="4720"/>
      </w:tblGrid>
      <w:tr>
        <w:trPr>
          <w:trHeight w:hRule="exact" w:val="500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Information in 2015 DoDI 5000.02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New Location</w:t>
            </w:r>
          </w:p>
        </w:tc>
      </w:tr>
      <w:tr>
        <w:trPr>
          <w:trHeight w:hRule="exact" w:val="558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Acquisition Policy (Paragraph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Procedures)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5000.85, “Major Capability Acquisition” </w:t>
            </w:r>
          </w:p>
        </w:tc>
      </w:tr>
      <w:tr>
        <w:trPr>
          <w:trHeight w:hRule="exact" w:val="796"/>
        </w:trPr>
        <w:tc>
          <w:tcPr>
            <w:tcW w:type="dxa" w:w="449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1.  Acquisition Program Categories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Compliance Requirements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-- Information Requirements Tables </w:t>
            </w:r>
          </w:p>
        </w:tc>
        <w:tc>
          <w:tcPr>
            <w:tcW w:type="dxa" w:w="487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5000.85, “Major Capability Acquisition”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Tables authorized by DoDI 5000.85 are posted on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AAF website </w:t>
            </w:r>
          </w:p>
        </w:tc>
      </w:tr>
      <w:tr>
        <w:trPr>
          <w:trHeight w:hRule="exact" w:val="1036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2.  Program Management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45" w:lineRule="auto" w:before="14" w:after="0"/>
              <w:ind w:left="4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5000.85, “Major Capability Acquisition”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5010.44, “Intellectual Property (IP)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Acquisition and Licensing,” October 16, 2019 has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replaced “IP Strategy” (formerly Paragraph 6.a.(4)) </w:t>
            </w:r>
          </w:p>
        </w:tc>
      </w:tr>
      <w:tr>
        <w:trPr>
          <w:trHeight w:hRule="exact" w:val="466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3.  Systems Engineering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5000.88, “Engineering of Defense Systems” </w:t>
            </w:r>
          </w:p>
        </w:tc>
      </w:tr>
      <w:tr>
        <w:trPr>
          <w:trHeight w:hRule="exact" w:val="1038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45" w:lineRule="auto" w:before="16" w:after="0"/>
              <w:ind w:left="4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4.  Developmental Test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Evaluation (DT&amp;E)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5.  Operational and Live Fire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Evaluation (OT&amp;E and LFT&amp;E)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5000.89, “Test and Evaluation” </w:t>
            </w:r>
          </w:p>
        </w:tc>
      </w:tr>
      <w:tr>
        <w:trPr>
          <w:trHeight w:hRule="exact" w:val="556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6.  Life-Cycle Sustainment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5000.91, “Product Support Management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Adaptive Acquisition Framework” </w:t>
            </w:r>
          </w:p>
        </w:tc>
      </w:tr>
      <w:tr>
        <w:trPr>
          <w:trHeight w:hRule="exact" w:val="558"/>
        </w:trPr>
        <w:tc>
          <w:tcPr>
            <w:tcW w:type="dxa" w:w="449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7.  Human Systems Integration (HSI) </w:t>
            </w:r>
          </w:p>
        </w:tc>
        <w:tc>
          <w:tcPr>
            <w:tcW w:type="dxa" w:w="487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5000.95, “Human Systems Integration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Defense Acquisition” </w:t>
            </w:r>
          </w:p>
        </w:tc>
      </w:tr>
      <w:tr>
        <w:trPr>
          <w:trHeight w:hRule="exact" w:val="556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8.  Affordability Analysis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Investment Constraints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Replaced by direction in Section 807 of Public Law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114-328 </w:t>
            </w:r>
          </w:p>
        </w:tc>
      </w:tr>
      <w:tr>
        <w:trPr>
          <w:trHeight w:hRule="exact" w:val="1038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9.  Analysis of Alternatives (AoA)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Necessary information is in DoDD 5105.84,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“Director of Cost Assessment and Program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Evaluation,” and the “Analysis of Alternatives Cost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Estimating Handbook” </w:t>
            </w:r>
          </w:p>
        </w:tc>
      </w:tr>
      <w:tr>
        <w:trPr>
          <w:trHeight w:hRule="exact" w:val="702"/>
        </w:trPr>
        <w:tc>
          <w:tcPr>
            <w:tcW w:type="dxa" w:w="449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10.  Cost Estimating and Reporting </w:t>
            </w:r>
          </w:p>
        </w:tc>
        <w:tc>
          <w:tcPr>
            <w:tcW w:type="dxa" w:w="487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Necessary guidance is available in DoDI 5000.73,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“Cost Analysis Guidance and Procedures.” </w:t>
            </w:r>
          </w:p>
        </w:tc>
      </w:tr>
      <w:tr>
        <w:trPr>
          <w:trHeight w:hRule="exact" w:val="798"/>
        </w:trPr>
        <w:tc>
          <w:tcPr>
            <w:tcW w:type="dxa" w:w="4490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11.  Requirements Applicable to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Programs Containing Information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(IT) </w:t>
            </w:r>
          </w:p>
        </w:tc>
        <w:tc>
          <w:tcPr>
            <w:tcW w:type="dxa" w:w="4870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4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5000.82, “Acquisition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Technology (IT)” </w:t>
            </w:r>
          </w:p>
        </w:tc>
      </w:tr>
      <w:tr>
        <w:trPr>
          <w:trHeight w:hRule="exact" w:val="440"/>
        </w:trPr>
        <w:tc>
          <w:tcPr>
            <w:tcW w:type="dxa" w:w="4490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12.  Urgent Capability Acquisition </w:t>
            </w:r>
          </w:p>
        </w:tc>
        <w:tc>
          <w:tcPr>
            <w:tcW w:type="dxa" w:w="4870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5000.81, “Urgent Capability Acquisition” </w:t>
            </w:r>
          </w:p>
        </w:tc>
      </w:tr>
      <w:tr>
        <w:trPr>
          <w:trHeight w:hRule="exact" w:val="1040"/>
        </w:trPr>
        <w:tc>
          <w:tcPr>
            <w:tcW w:type="dxa" w:w="449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Enclosure 13.  Cybersecurity in the Defense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Acquisition System </w:t>
            </w:r>
          </w:p>
        </w:tc>
        <w:tc>
          <w:tcPr>
            <w:tcW w:type="dxa" w:w="487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45" w:lineRule="auto" w:before="16" w:after="0"/>
              <w:ind w:left="4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5000.90, “Cybersecurity for Acquisition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Decision Authorities and Program Managers”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DoDI 5000.83, “Technology and Program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Protection to Maintain Technological Advantage” </w:t>
            </w:r>
          </w:p>
        </w:tc>
      </w:tr>
    </w:tbl>
    <w:p>
      <w:pPr>
        <w:autoSpaceDN w:val="0"/>
        <w:tabs>
          <w:tab w:pos="9240" w:val="left"/>
        </w:tabs>
        <w:autoSpaceDE w:val="0"/>
        <w:widowControl/>
        <w:spacing w:line="230" w:lineRule="auto" w:before="280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364" w:right="136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1.5.  SUMMARY OF CHANGE 1.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 to this issuance is administrative and: </w:t>
      </w:r>
    </w:p>
    <w:p>
      <w:pPr>
        <w:autoSpaceDN w:val="0"/>
        <w:autoSpaceDE w:val="0"/>
        <w:widowControl/>
        <w:spacing w:line="245" w:lineRule="auto" w:before="250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Cancels DoDI 5000.02T in accordance with the 2020 coordination of this issuance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subsequent approval of the transition plan.  AAF realignment was completed upon the approval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publication of DoDI 5000.95.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5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Updates the transition plan in Paragraph 1.4. to document its completion and final location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information previously in the January 7, 2015 version of DoDI 5000.02. 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106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2684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2: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ESPONSIBILITIES</w:t>
      </w:r>
    </w:p>
    <w:p>
      <w:pPr>
        <w:autoSpaceDN w:val="0"/>
        <w:autoSpaceDE w:val="0"/>
        <w:widowControl/>
        <w:spacing w:line="245" w:lineRule="auto" w:before="490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2.1.  UNDER SECRETARY OF DEFENSE FOR ACQUISITION AND SUSTAINMENT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(USD(A&amp;S)).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USD(A&amp;S):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Executes the acquisition responsibilities in the DoDD 5135.02.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accordance with the November 16, 2018 DepSecDef memorandum, serves as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 in the preparation of major defense acquisition program (MDAP) analysis of alternatives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guidance.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In accordance with the December 20, 2019 DepSecDef memorandum: </w:t>
      </w:r>
    </w:p>
    <w:p>
      <w:pPr>
        <w:autoSpaceDN w:val="0"/>
        <w:autoSpaceDE w:val="0"/>
        <w:widowControl/>
        <w:spacing w:line="245" w:lineRule="auto" w:before="250" w:after="0"/>
        <w:ind w:left="0" w:right="72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Serves as the MDA for the Materiel Development Decision, Milestone A,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for Proposal Release Decision Point for the Engineering and Manufacturing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Phase, Milestone B, and Milestone C for acquisition category (ACAT) 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Issues and maintains requirements for the content, and the review and approval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for ACAT ID acquisition strategies, and approves the acquisition strategies for ACAT 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Publishes all middle tier of acquisition (MTA) policy, to include MTA rapid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prototyping policy and MTA rapid fielding policy.  USD(A&amp;S) written approval is required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using the MTA pathway for a program that exceeds the MDAP dollar threshold. </w:t>
      </w:r>
    </w:p>
    <w:p>
      <w:pPr>
        <w:autoSpaceDN w:val="0"/>
        <w:autoSpaceDE w:val="0"/>
        <w:widowControl/>
        <w:spacing w:line="245" w:lineRule="auto" w:before="492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2.2.  UNDER SECRETARY OF DEFENSE FOR RESEARCH AND ENGINEERING 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(USD(R&amp;E)).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USD(R&amp;E):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Executes the research and engineering responsibilities in DoDD 5137.02.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accordance with the November 16, 2018 DepSecDef memorandum: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Serves as a technical advisor in the preparation of MDAP analysis of alternatives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guidance.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Confirms that a materiel solution that addresses the validated need or capability gap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MDAP is technically feasible and achievable.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In accordance with the December 20, 2019 DepSecDef Memorandum: 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1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ESPONSIBILITIES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4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Conducts and approves independent technical risk assessments (ITRAs) for ACAT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 Programs. </w:t>
      </w:r>
    </w:p>
    <w:p>
      <w:pPr>
        <w:autoSpaceDN w:val="0"/>
        <w:autoSpaceDE w:val="0"/>
        <w:widowControl/>
        <w:spacing w:line="245" w:lineRule="auto" w:before="25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Provides guidance for Military Department-conducted ITRAs for ACAT IB and 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programs.  The USD(R&amp;E) will approve Military Department-conducted ITRAs (the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Department ITRAs that USD(R&amp;E) reviews will be at USD(R&amp;E)’s discretion). </w:t>
      </w:r>
    </w:p>
    <w:p>
      <w:pPr>
        <w:autoSpaceDN w:val="0"/>
        <w:autoSpaceDE w:val="0"/>
        <w:widowControl/>
        <w:spacing w:line="245" w:lineRule="auto" w:before="1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Military Department ITRAs conducted on non-MDAP programs will follow USD(R&amp;E)-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ITRA policy.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Maintains authority over early development prototyping policy outside of MTA.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Approves the development testing and evaluation in the Test and Evaluation Master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2.3.  DOD COMPONENT HEADS.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 Component heads are responsible for aligning the management of acquisition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three principal DoD processes to support affordable design, development, production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sustainment of mission effective capability and services.  These processes are the: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Joint Capabilities Integration and Development System.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Planning, Programming, Budgeting and Execution System.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  DAS.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2.4.  COMPONENT ACQUISITION EXECUTIVE (CAE).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authority, direction, and control of the appropriate DoD Component head, a CAE: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Implements the direction in this instruction and DoDD 5000.01. </w:t>
      </w:r>
    </w:p>
    <w:p>
      <w:pPr>
        <w:autoSpaceDN w:val="0"/>
        <w:autoSpaceDE w:val="0"/>
        <w:widowControl/>
        <w:spacing w:line="245" w:lineRule="auto" w:before="250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When necessary, submits waivers or requests for exception to the provisions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 to the applicable authority.  Statutory requirements cannot be waived unless a statute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48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May delegate program decision authority to the lowest appropriate level unless otherwise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specified. </w:t>
      </w:r>
    </w:p>
    <w:p>
      <w:pPr>
        <w:autoSpaceDN w:val="0"/>
        <w:autoSpaceDE w:val="0"/>
        <w:widowControl/>
        <w:spacing w:line="230" w:lineRule="auto" w:before="4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2.5.  EXECUTIVE DIRECTOR, JOINT RAPID ACQUISITION CELL. </w:t>
      </w:r>
    </w:p>
    <w:p>
      <w:pPr>
        <w:autoSpaceDN w:val="0"/>
        <w:autoSpaceDE w:val="0"/>
        <w:widowControl/>
        <w:spacing w:line="245" w:lineRule="auto" w:before="2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authority, direction, and operational control of the DepSecDef, the Director, Joint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Rapid Acquisition Cell, manages the urgent capability acquisition pathway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5000.71. 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9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ESPONSIBILITIES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3: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P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ROGRAM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M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ANAGEMENT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A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UTHORITIES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acquisition managers will exercise the following authorities within the DAS: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3.1.  MDA/DA.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MDA/DA is the program decision authority and specifies the decision points and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assigned programs.  MDAs/DAs will tailor program strategies and oversight, phase content,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timing and scope of decision reviews, and decision levels based on the characteristics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capability being acquired (including complexity, risk, and urgency) to satisfy user requirements.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MDAs for MDAPs and major systems will approve, as appropriate, the acquisition strategy at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major decision points.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3.2.  PROGRAM EXECUTIVE OFFICER (PEO). </w:t>
      </w:r>
    </w:p>
    <w:p>
      <w:pPr>
        <w:autoSpaceDN w:val="0"/>
        <w:autoSpaceDE w:val="0"/>
        <w:widowControl/>
        <w:spacing w:line="245" w:lineRule="auto" w:before="24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PEO balances the risk, cost, schedule, performance, interoperability, sustainability,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affordability of a portfolio of acquisition programs and delivers an integrated suite of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capability to users.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3.3.  PM.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supervision of PEOs and CAEs, PMs: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25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Plan acquisition programs, prepare programs for key decisions, and execute approved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acquisition and product support strategies.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Employ a thoughtful, innovative, and disciplined approach to program management.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3.4.  PRODUCT SUPPORT MANAGER. 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supervision of PMs, product support managers develop, plan, and implement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comprehensive product support strategy for all integrated product support elements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 readiness.  Product support managers will make use of data-driven decision making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tools with appropriate predictive analysis capabilities to improve systems availability and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costs. </w:t>
      </w:r>
    </w:p>
    <w:p>
      <w:pPr>
        <w:autoSpaceDN w:val="0"/>
        <w:tabs>
          <w:tab w:pos="9240" w:val="left"/>
        </w:tabs>
        <w:autoSpaceDE w:val="0"/>
        <w:widowControl/>
        <w:spacing w:line="230" w:lineRule="auto" w:before="29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UTHORITIES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432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3500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4: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P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ROCEDURES</w:t>
      </w:r>
    </w:p>
    <w:p>
      <w:pPr>
        <w:autoSpaceDN w:val="0"/>
        <w:autoSpaceDE w:val="0"/>
        <w:widowControl/>
        <w:spacing w:line="230" w:lineRule="auto" w:before="4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4.1.  GENERAL PROCEDURES. </w:t>
      </w:r>
    </w:p>
    <w:p>
      <w:pPr>
        <w:autoSpaceDN w:val="0"/>
        <w:autoSpaceDE w:val="0"/>
        <w:widowControl/>
        <w:spacing w:line="245" w:lineRule="auto" w:before="248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PMs will develop an acquisition strategy for MDA approval that matches the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 (see Figure 1) processes, reviews, documents, and metrics to the character and risk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capability being acquired. </w:t>
      </w:r>
    </w:p>
    <w:p>
      <w:pPr>
        <w:autoSpaceDN w:val="0"/>
        <w:autoSpaceDE w:val="0"/>
        <w:widowControl/>
        <w:spacing w:line="230" w:lineRule="auto" w:before="252" w:after="0"/>
        <w:ind w:left="0" w:right="4422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1.  AAF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1580" cy="5151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515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8" w:after="0"/>
        <w:ind w:left="0" w:right="576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PMs, with the approval of MDAs/DAs, may leverage a combination of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pathways to provide value not otherwise available through use of a single pathway.  The use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pathways does not affect the application of statutory thresholds otherwise applicable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as a whole, such as the MDAP or major system (ACAT II) thresholds unless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statute permits.  PMs employing multiple pathways will: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62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</w:t>
      </w:r>
    </w:p>
    <w:p>
      <w:pPr>
        <w:sectPr>
          <w:pgSz w:w="12240" w:h="15840"/>
          <w:pgMar w:top="364" w:right="872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Define the transition points from one pathway to another pathway.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Anticipate, develop, and coordinate the information requirements required at the 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 entry point.  Links provided in Paragraph 4.3. identify regulatory and statutory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requirements for major capability acquisition, and the statutory requirements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pathways.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Ensure a smooth transition. </w:t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In addition, PMs will: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“Tailor in” the regulatory information requirements that will be used to describe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of the program.  In this context, “tailoring-in” means that the PM will identify,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 for MDA/DA approval, the regulatory information that will be employed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program plans and how that information will be formatted and provided for review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MDA/DA.  The PM’s recommendation will be reviewed by the MDA/DA, and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MDA/DA’s decision will be documented in an acquisition decision memorandum.  MDAs/DAs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coordinate, when necessary, with other regulatory document approval authorities to facilitate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of this approach.  Statutory requirements will not be waived unless a statute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permits.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Design program and business strategies to facilitate the acquisition of appropriate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effective technology solutions and achieve mission success while being mutually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advantageous to the DoD and its industry partners.  Similarly, PMs will consider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that leverage international acquisition and supportability planning to improve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economies of scale, strengthen the defense industrial base, and enhance coalition partner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capabilities to prepare for joint operations. </w:t>
      </w:r>
    </w:p>
    <w:p>
      <w:pPr>
        <w:autoSpaceDN w:val="0"/>
        <w:autoSpaceDE w:val="0"/>
        <w:widowControl/>
        <w:spacing w:line="245" w:lineRule="auto" w:before="248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Recognize that cybersecurity is a critical aspect of program planning.  It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addressed early and continuously during the program life cycle to ensure cybersecurity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and technical risks are identified and reduced and that fielded systems are capable,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effective, and resilient.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Consider the procurement of data deliverables and associated license rights needed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competitive acquisition and life-cycle sustainment strategies.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Prioritize product support and affordability during early program planning to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sustained mission effectiveness. </w:t>
      </w:r>
    </w:p>
    <w:p>
      <w:pPr>
        <w:autoSpaceDN w:val="0"/>
        <w:autoSpaceDE w:val="0"/>
        <w:widowControl/>
        <w:spacing w:line="245" w:lineRule="auto" w:before="250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 Establish a risk management program to ensure program cost, schedule,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objectives are achieved, and to communicate the process for managing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uncertainty.  In consultation with the user representative, the PM will determine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environment, safety, and occupational health risks must be eliminated or mitigated, and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risks can be accepted.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(7)  When consistent with pathway requirements, develop engineering plans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applicable to the pathways to mature technology, conduct necessary systems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6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45" w:lineRule="auto" w:before="28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 tradeoffs, and produce and manage appropriate technical baselines through the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systems engineering technical reviews.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4.2.  AAF PATHWAYS. </w:t>
      </w:r>
    </w:p>
    <w:p>
      <w:pPr>
        <w:autoSpaceDN w:val="0"/>
        <w:autoSpaceDE w:val="0"/>
        <w:widowControl/>
        <w:spacing w:line="245" w:lineRule="auto" w:before="24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pathways describe multiple acquisition approaches that provide capability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user while capitalizing on advanced acquisition methods and improving the DoD’s ability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benefit from commercial innovation.  There are six pathways: </w:t>
      </w:r>
    </w:p>
    <w:p>
      <w:pPr>
        <w:autoSpaceDN w:val="0"/>
        <w:autoSpaceDE w:val="0"/>
        <w:widowControl/>
        <w:spacing w:line="230" w:lineRule="auto" w:before="2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a.  Urgent Capability Acquisition. </w:t>
      </w:r>
    </w:p>
    <w:p>
      <w:pPr>
        <w:autoSpaceDN w:val="0"/>
        <w:autoSpaceDE w:val="0"/>
        <w:widowControl/>
        <w:spacing w:line="230" w:lineRule="auto" w:before="2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Purpose.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field capabilities to fulfill urgent existing or emerging operational needs or quick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reactions in less than 2 years.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Characteristics.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DoD’s highest priority is to provide warfighters with the capabilities urgently needed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overcome unforeseen threats, achieve mission success, and reduce risk of casualties.  Urgent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needs and other quick reaction capabilities are identified and approved for resolution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designated authorities.  The estimated cost of any single solution must not exceed $525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million in research, development, and test and evaluation; or $3.065 billion procurement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Fiscal Year 2020 constant dollars.  The acquisition; product support and sustainment processes;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reviews; and documents are aggressively streamlined due to operational urgency.  The goal is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 for the capability in a few weeks, with development and production measured in months. </w:t>
      </w:r>
    </w:p>
    <w:p>
      <w:pPr>
        <w:autoSpaceDN w:val="0"/>
        <w:autoSpaceDE w:val="0"/>
        <w:widowControl/>
        <w:spacing w:line="245" w:lineRule="auto" w:before="1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imperative is to quickly deliver useful capability to the warfighter in a timely fashion.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2 illustrates the urgent capability acquisition pathway.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References.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8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5000.71 and DoDI 5000.81 establish policies and provide procedures for urgent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needs and other quick reaction capabilities acquisition. </w:t>
      </w:r>
    </w:p>
    <w:p>
      <w:pPr>
        <w:autoSpaceDN w:val="0"/>
        <w:autoSpaceDE w:val="0"/>
        <w:widowControl/>
        <w:spacing w:line="230" w:lineRule="auto" w:before="25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2.  Urgent Capability Acquisition Pathway </w:t>
      </w:r>
    </w:p>
    <w:p>
      <w:pPr>
        <w:autoSpaceDN w:val="0"/>
        <w:autoSpaceDE w:val="0"/>
        <w:widowControl/>
        <w:spacing w:line="240" w:lineRule="auto" w:before="120" w:after="0"/>
        <w:ind w:left="5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36210" cy="1212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21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17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72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b.  MTA. </w:t>
      </w:r>
    </w:p>
    <w:p>
      <w:pPr>
        <w:autoSpaceDN w:val="0"/>
        <w:autoSpaceDE w:val="0"/>
        <w:widowControl/>
        <w:spacing w:line="230" w:lineRule="auto" w:before="2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Purpose. </w:t>
      </w:r>
    </w:p>
    <w:p>
      <w:pPr>
        <w:autoSpaceDN w:val="0"/>
        <w:autoSpaceDE w:val="0"/>
        <w:widowControl/>
        <w:spacing w:line="245" w:lineRule="auto" w:before="250" w:after="0"/>
        <w:ind w:left="0" w:right="86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rapidly develop fieldable prototypes within an acquisition program to demonstrate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capabilities or rapidly field production quantities of systems with proven technologies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 minimal development.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Characteristics. </w:t>
      </w:r>
    </w:p>
    <w:p>
      <w:pPr>
        <w:autoSpaceDN w:val="0"/>
        <w:autoSpaceDE w:val="0"/>
        <w:widowControl/>
        <w:spacing w:line="245" w:lineRule="auto" w:before="250" w:after="0"/>
        <w:ind w:left="0" w:right="72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MTA pathway includes rapid prototyping and rapid fielding activities.  The objective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rapid prototyping is to field a prototype meeting defined requirements that can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demonstrated in an operational environment and provide for residual operational capability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5 years of the MTA program start date.  The objective of rapid fielding is to begin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within 6 months and complete fielding within 5 years of the MTA program start date.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activities will not be subject to the Joint Capabilities Integration and Development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the procedures outlined in DoDD 5000.01, except to the extent specifically provided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guidance.  PMs will “tailor-in” reviews, assessments, and relevant documentation that results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acquisition strategy customized to the unique characteristics and risks of their program.  PMs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ensure operational, technical, and security risks are identified and reduced so that fielded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are capable, effective, and resilient.  PMs will comply with statutory requirements unless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waived in accordance with a relevant provision.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References.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5000.80 establishes policy, assigns responsibilities, and prescribes procedures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MTA pathway, illustrated in Figure 3. </w:t>
      </w:r>
    </w:p>
    <w:p>
      <w:pPr>
        <w:autoSpaceDN w:val="0"/>
        <w:autoSpaceDE w:val="0"/>
        <w:widowControl/>
        <w:spacing w:line="230" w:lineRule="auto" w:before="252" w:after="0"/>
        <w:ind w:left="0" w:right="4124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3.  MTA Pathway </w:t>
      </w:r>
    </w:p>
    <w:p>
      <w:pPr>
        <w:autoSpaceDN w:val="0"/>
        <w:autoSpaceDE w:val="0"/>
        <w:widowControl/>
        <w:spacing w:line="240" w:lineRule="auto" w:before="1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0" cy="9512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51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5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c.  Major Capability Acquisition. </w:t>
      </w:r>
    </w:p>
    <w:p>
      <w:pPr>
        <w:autoSpaceDN w:val="0"/>
        <w:autoSpaceDE w:val="0"/>
        <w:widowControl/>
        <w:spacing w:line="230" w:lineRule="auto" w:before="2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Purpose.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acquire and modernize military unique programs that provide enduring capability.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Characteristics. </w:t>
      </w:r>
    </w:p>
    <w:p>
      <w:pPr>
        <w:autoSpaceDN w:val="0"/>
        <w:autoSpaceDE w:val="0"/>
        <w:widowControl/>
        <w:spacing w:line="245" w:lineRule="auto" w:before="250" w:after="0"/>
        <w:ind w:left="0" w:right="86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acquisitions typically follow a structured analyze, design, develop, integrate, test,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evaluate, produce, and support approach.  This process is designed to support MDAPs, major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systems, and other complex acquisitions.  Acquisition and product support processes, reviews,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documentation will be tailored based on the program size, complexity, risk, urgency, and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52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 </w:t>
      </w:r>
    </w:p>
    <w:p>
      <w:pPr>
        <w:sectPr>
          <w:pgSz w:w="12240" w:h="15840"/>
          <w:pgMar w:top="364" w:right="6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72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45" w:lineRule="auto" w:before="28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factors.  Software-intensive components may be acquired via the software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pathway, with the outputs and dependencies integrated with the overall major capability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pathway.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References.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5000.85 establishes policy, assigns responsibilities, and prescribes procedures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major capability acquisition pathway, illustrated in Figure 4. </w:t>
      </w:r>
    </w:p>
    <w:p>
      <w:pPr>
        <w:autoSpaceDN w:val="0"/>
        <w:autoSpaceDE w:val="0"/>
        <w:widowControl/>
        <w:spacing w:line="230" w:lineRule="auto" w:before="252" w:after="0"/>
        <w:ind w:left="21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4.  Major Capability Acquisition Pathway </w:t>
      </w:r>
    </w:p>
    <w:p>
      <w:pPr>
        <w:autoSpaceDN w:val="0"/>
        <w:autoSpaceDE w:val="0"/>
        <w:widowControl/>
        <w:spacing w:line="240" w:lineRule="auto" w:before="1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0" cy="768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76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5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d. Software Acquisition.</w:t>
      </w:r>
    </w:p>
    <w:p>
      <w:pPr>
        <w:autoSpaceDN w:val="0"/>
        <w:autoSpaceDE w:val="0"/>
        <w:widowControl/>
        <w:spacing w:line="230" w:lineRule="auto" w:before="2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(1) Purpose.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facilitate rapid and iterative delivery of software capability (e.g., software-intensive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or software-intensive components or sub-systems) to the user.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(2) Characteristics.</w:t>
      </w:r>
    </w:p>
    <w:p>
      <w:pPr>
        <w:autoSpaceDN w:val="0"/>
        <w:autoSpaceDE w:val="0"/>
        <w:widowControl/>
        <w:spacing w:line="245" w:lineRule="auto" w:before="250" w:after="0"/>
        <w:ind w:left="0" w:right="72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pathway integrates modern software development practice such as Agile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Development, Development, Security, and Operations, and Lean Practices.  Small cross-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teams that include operational users, developmental and operational testers,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developers, and cybersecurity experts leverage enterprise services to deliver software rapidly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iteratively to meet the highest priority user needs.  These mission-focused, government-industry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 leverage automated tools for iterative development, builds, integration, testing, production,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certification, and deployment of capabilities to the operational environment.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>(3) References.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5000.87 establishes policy, assigns responsibilities, and prescribes procedures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software acquisition pathway, illustrated in Figure 5. </w:t>
      </w:r>
    </w:p>
    <w:p>
      <w:pPr>
        <w:autoSpaceDN w:val="0"/>
        <w:autoSpaceDE w:val="0"/>
        <w:widowControl/>
        <w:spacing w:line="230" w:lineRule="auto" w:before="252" w:after="0"/>
        <w:ind w:left="0" w:right="3328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5.  Software Acquisition Pathway </w:t>
      </w:r>
    </w:p>
    <w:p>
      <w:pPr>
        <w:autoSpaceDN w:val="0"/>
        <w:autoSpaceDE w:val="0"/>
        <w:widowControl/>
        <w:spacing w:line="240" w:lineRule="auto" w:before="1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87570" cy="9385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938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13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 </w:t>
      </w:r>
    </w:p>
    <w:p>
      <w:pPr>
        <w:sectPr>
          <w:pgSz w:w="12240" w:h="15840"/>
          <w:pgMar w:top="364" w:right="6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e.  Defense Business Systems (DBS) Acquisition. </w:t>
      </w:r>
    </w:p>
    <w:p>
      <w:pPr>
        <w:autoSpaceDN w:val="0"/>
        <w:autoSpaceDE w:val="0"/>
        <w:widowControl/>
        <w:spacing w:line="230" w:lineRule="auto" w:before="2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Purpose. 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343" w:lineRule="auto" w:before="25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acquire information systems that support DoD business operations.  This pathway: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Applies to defense business capabilities and their supporting business systems,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those with “as-a-service” solutions to include: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Financial and financial data feeder.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Contracting.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Logistics.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Planning and budgeting.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Installations management.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Human resources management. </w:t>
      </w:r>
    </w:p>
    <w:p>
      <w:pPr>
        <w:autoSpaceDN w:val="0"/>
        <w:autoSpaceDE w:val="0"/>
        <w:widowControl/>
        <w:spacing w:line="230" w:lineRule="auto" w:before="25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Training and readiness systems.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25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May also be used to acquire non-developmental, software intensive programs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not business systems.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Characteristics. </w:t>
      </w:r>
    </w:p>
    <w:p>
      <w:pPr>
        <w:autoSpaceDN w:val="0"/>
        <w:autoSpaceDE w:val="0"/>
        <w:widowControl/>
        <w:spacing w:line="245" w:lineRule="auto" w:before="25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pathway assesses the business environment and identifies existing commercial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solutions that could be adopted to satisfy DoD needs. The DoD reviews its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and revises them to align more closely with commercial or government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best practices.  Customization of a selected information technology solution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minimal.  The DoD reduces risk and maximizes benefits by using commercial-off-the-shelf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software that has been successfully demonstrated in the commercial marketplace.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Reference.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8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5000.75 establishes policies and provides procedures for the DBS acquisition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pathway, illustrated in Figure 6. </w:t>
      </w:r>
    </w:p>
    <w:p>
      <w:pPr>
        <w:autoSpaceDN w:val="0"/>
        <w:autoSpaceDE w:val="0"/>
        <w:widowControl/>
        <w:spacing w:line="230" w:lineRule="auto" w:before="25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6.  DBS Pathway </w:t>
      </w:r>
    </w:p>
    <w:p>
      <w:pPr>
        <w:autoSpaceDN w:val="0"/>
        <w:autoSpaceDE w:val="0"/>
        <w:widowControl/>
        <w:spacing w:line="240" w:lineRule="auto" w:before="1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49570" cy="1066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7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 </w:t>
      </w:r>
    </w:p>
    <w:p>
      <w:pPr>
        <w:sectPr>
          <w:pgSz w:w="12240" w:h="15840"/>
          <w:pgMar w:top="364" w:right="136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f.  Defense Acquisition of Services. </w:t>
      </w:r>
    </w:p>
    <w:p>
      <w:pPr>
        <w:autoSpaceDN w:val="0"/>
        <w:autoSpaceDE w:val="0"/>
        <w:widowControl/>
        <w:spacing w:line="230" w:lineRule="auto" w:before="2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(1)  Purpose. </w:t>
      </w:r>
    </w:p>
    <w:p>
      <w:pPr>
        <w:autoSpaceDN w:val="0"/>
        <w:autoSpaceDE w:val="0"/>
        <w:widowControl/>
        <w:spacing w:line="245" w:lineRule="auto" w:before="250" w:after="0"/>
        <w:ind w:left="0" w:right="576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acquire services from the private sector including knowledge-based, construction,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electronics and communications, equipment, facilities, product support, logistics, medical,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and development, and transportation services.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(2)  Characteristics. </w:t>
      </w:r>
    </w:p>
    <w:p>
      <w:pPr>
        <w:autoSpaceDN w:val="0"/>
        <w:autoSpaceDE w:val="0"/>
        <w:widowControl/>
        <w:spacing w:line="245" w:lineRule="auto" w:before="25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pathway is intended to identify the required services, research the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contractors, contract for the services, and manage performance.  The seven steps of the pathway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grouped into three phases: Plan, Develop, and Execute. </w:t>
      </w:r>
    </w:p>
    <w:p>
      <w:pPr>
        <w:autoSpaceDN w:val="0"/>
        <w:autoSpaceDE w:val="0"/>
        <w:widowControl/>
        <w:spacing w:line="230" w:lineRule="auto" w:before="2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365F91"/>
          <w:sz w:val="24"/>
        </w:rPr>
        <w:t xml:space="preserve">(3)  Reference.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5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5000.74 and the online Service Acquisition Mall establish policies and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for the defense acquisition of services pathway, illustrated in Figure 7. </w:t>
      </w:r>
    </w:p>
    <w:p>
      <w:pPr>
        <w:autoSpaceDN w:val="0"/>
        <w:autoSpaceDE w:val="0"/>
        <w:widowControl/>
        <w:spacing w:line="230" w:lineRule="auto" w:before="252" w:after="0"/>
        <w:ind w:left="0" w:right="2660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Figure 7.  Acquisition of Services Pathway </w:t>
      </w:r>
    </w:p>
    <w:p>
      <w:pPr>
        <w:autoSpaceDN w:val="0"/>
        <w:autoSpaceDE w:val="0"/>
        <w:widowControl/>
        <w:spacing w:line="240" w:lineRule="auto" w:before="1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01970" cy="102361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4.3.  ADDITIONAL DIRECTION. </w:t>
      </w:r>
    </w:p>
    <w:p>
      <w:pPr>
        <w:autoSpaceDN w:val="0"/>
        <w:autoSpaceDE w:val="0"/>
        <w:widowControl/>
        <w:spacing w:line="230" w:lineRule="auto" w:before="24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Additional details on each pathway of the AAF can be found at https://aaf.dau.edu/. </w:t>
      </w:r>
    </w:p>
    <w:p>
      <w:pPr>
        <w:autoSpaceDN w:val="0"/>
        <w:autoSpaceDE w:val="0"/>
        <w:widowControl/>
        <w:spacing w:line="245" w:lineRule="auto" w:before="250" w:after="0"/>
        <w:ind w:left="0" w:right="432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A table identifying references that provide additional policy direction, applicable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pathways described in this issuance, is available 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https://www.dau.edu/aafdid/Pages/About.aspx.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39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ROCEDURES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16 </w:t>
      </w:r>
    </w:p>
    <w:p>
      <w:pPr>
        <w:sectPr>
          <w:pgSz w:w="12240" w:h="15840"/>
          <w:pgMar w:top="364" w:right="1238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</w:p>
    <w:p>
      <w:pPr>
        <w:autoSpaceDN w:val="0"/>
        <w:autoSpaceDE w:val="0"/>
        <w:widowControl/>
        <w:spacing w:line="230" w:lineRule="auto" w:before="1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4022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G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LOSSARY</w:t>
      </w:r>
    </w:p>
    <w:p>
      <w:pPr>
        <w:autoSpaceDN w:val="0"/>
        <w:autoSpaceDE w:val="0"/>
        <w:widowControl/>
        <w:spacing w:line="230" w:lineRule="auto" w:before="4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G.1.  ACRONYMS.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50" w:after="0"/>
        <w:ind w:left="1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</w:t>
      </w:r>
      <w:r>
        <w:rPr>
          <w:rFonts w:ascii="TimesNewRomanPS" w:hAnsi="TimesNewRomanPS" w:eastAsia="TimesNewRomanPS"/>
          <w:b/>
          <w:i w:val="0"/>
          <w:color w:val="000000"/>
          <w:sz w:val="19"/>
        </w:rPr>
        <w:t xml:space="preserve">CRONYM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</w:t>
      </w:r>
      <w:r>
        <w:rPr>
          <w:rFonts w:ascii="TimesNewRomanPS" w:hAnsi="TimesNewRomanPS" w:eastAsia="TimesNewRomanPS"/>
          <w:b/>
          <w:i w:val="0"/>
          <w:color w:val="000000"/>
          <w:sz w:val="19"/>
        </w:rPr>
        <w:t>EANING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4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AAF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acquisition framework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acquisition category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 acquisition executive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 authority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Acquisition System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DBS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business systems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DepSecDef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Secretary of Defense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technical risk assessment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milestone decision authority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major defense acquisition program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middle tier of acquisition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executive officer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manager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28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USD(A&amp;S)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Acquisition and Sustainment </w:t>
      </w:r>
    </w:p>
    <w:p>
      <w:pPr>
        <w:autoSpaceDN w:val="0"/>
        <w:tabs>
          <w:tab w:pos="2540" w:val="left"/>
        </w:tabs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USD(R&amp;E)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Research and Engineering </w:t>
      </w:r>
    </w:p>
    <w:p>
      <w:pPr>
        <w:autoSpaceDN w:val="0"/>
        <w:autoSpaceDE w:val="0"/>
        <w:widowControl/>
        <w:spacing w:line="230" w:lineRule="auto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G.2.  DEFINITIONS.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complete Glossary of acquisition terms is maintained on the Defense Acquisition University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website.  The Defense Acquisition University Glossary can be found at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https://www.dau.edu/tools/t/DAU-Glossary.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321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LOSSARY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17 </w:t>
      </w:r>
    </w:p>
    <w:p>
      <w:pPr>
        <w:sectPr>
          <w:pgSz w:w="12240" w:h="15840"/>
          <w:pgMar w:top="364" w:right="136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autoSpaceDE w:val="0"/>
        <w:widowControl/>
        <w:spacing w:line="230" w:lineRule="auto" w:before="290" w:after="0"/>
        <w:ind w:left="0" w:right="3864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EFERENCES</w:t>
      </w:r>
    </w:p>
    <w:p>
      <w:pPr>
        <w:autoSpaceDN w:val="0"/>
        <w:tabs>
          <w:tab w:pos="360" w:val="left"/>
        </w:tabs>
        <w:autoSpaceDE w:val="0"/>
        <w:widowControl/>
        <w:spacing w:line="274" w:lineRule="auto" w:before="2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Adaptive Acquisition Framework Documentation Identification (AAFDID) Tool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Assessment and Program Evaluation, “Analysis of Alternatives Cost Estimating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Handbook,” current edition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Secretary of Defense Memorandum, “Procedures for the Establishment of Program Cost,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Fielding, and Performance Goals for Major Defense Acquisition Programs,” November 16,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Secretary of Defense Memorandum, “Acquisition Roles and Responsibilities,”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December 20,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5000.01, “The Defense Acquisition System,” September 9,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5000.71, “Rapid Fulfillment of Combatant Commander Urgent Operational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Needs,” August 24, 2012,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5105.84, “Director of Cost Assessment and Program Evaluation,” August 14,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5135.02, “Under Secretary of Defense for Acquisition and Sustainment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(USD(A&amp;S)),” July 15,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5137.02, “Under Secretary of Defense for Research and Engineering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(USD(R&amp;E)),” July 15,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5000.73, “Cost Analysis Guidance and Procedures,” March 13,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5000.74, “Defense Acquisition of Services,” January 10, 2020,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5000.75, “Business Systems Requirements and Acquisition,” February 2, 2017,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5000.80, “Operation of the Middle Tier of Acquisition (MTA),”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December 30,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5000.81, “Urgent Capability Acquisition,” December 31,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5000.82, “Acquisition of Information Technology (IT),” April 21, 2020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5000.83, “Technology and Program Protection to Maintain Technological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Advantage,” July 20, 2020,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5000.85, “Major Capability Acquisition,” August 6, 2020,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5000.87, “Operation of the Software Acquisition Pathway”, October 2, 2020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5000.88, “Engineering of Defense Systems,” November 18,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5000.89, “Test and Evaluation,” November 19,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5000.90, “Cybersecurity for Acquisition Decision Authorities and Program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Managers,” December 31,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5000.91, “Product Support Management for the Adaptive Acquisition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Framework,” November 4, 2021 </w:t>
      </w:r>
    </w:p>
    <w:p>
      <w:pPr>
        <w:autoSpaceDN w:val="0"/>
        <w:autoSpaceDE w:val="0"/>
        <w:widowControl/>
        <w:spacing w:line="245" w:lineRule="auto" w:before="804" w:after="0"/>
        <w:ind w:left="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https://www.dau.edu/aafdid/Pages/About.aspx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https://www.cape.osd.mil/#CAPEPublicReports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4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EFERENCES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18 </w:t>
      </w:r>
    </w:p>
    <w:p>
      <w:pPr>
        <w:sectPr>
          <w:pgSz w:w="12240" w:h="15840"/>
          <w:pgMar w:top="364" w:right="136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80" w:right="0" w:hanging="912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DoDI 5000.02, January 23, 2020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Change 1, June 8, 2022 </w:t>
      </w:r>
    </w:p>
    <w:p>
      <w:pPr>
        <w:autoSpaceDN w:val="0"/>
        <w:tabs>
          <w:tab w:pos="360" w:val="left"/>
        </w:tabs>
        <w:autoSpaceDE w:val="0"/>
        <w:widowControl/>
        <w:spacing w:line="276" w:lineRule="auto" w:before="28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5000.95, “Human Systems Integration in Defense Acquisition,” April 1, 2022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5010.44, “Intellectual Property (IP) Acquisition and Licensing,”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October 16, 2019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Law 114-328, Section 807, “National Defense Authorization Act for Fiscal Year 2017,”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December 23, 2016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On-line Service Acquisition Mall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10 </w:t>
      </w:r>
    </w:p>
    <w:p>
      <w:pPr>
        <w:autoSpaceDN w:val="0"/>
        <w:autoSpaceDE w:val="0"/>
        <w:widowControl/>
        <w:spacing w:line="238" w:lineRule="auto" w:before="103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Available at https://www.dau.edu/tools/Documents/SAM/home.html </w:t>
      </w:r>
    </w:p>
    <w:p>
      <w:pPr>
        <w:autoSpaceDN w:val="0"/>
        <w:tabs>
          <w:tab w:pos="9120" w:val="left"/>
        </w:tabs>
        <w:autoSpaceDE w:val="0"/>
        <w:widowControl/>
        <w:spacing w:line="230" w:lineRule="auto" w:before="4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EFERENCES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 </w:t>
      </w:r>
    </w:p>
    <w:sectPr w:rsidR="00FC693F" w:rsidRPr="0006063C" w:rsidSect="00034616">
      <w:pgSz w:w="12240" w:h="15840"/>
      <w:pgMar w:top="364" w:right="1360" w:bottom="3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