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8E0" w:rsidRPr="00FD0D24" w:rsidRDefault="006E364E" w:rsidP="00FD0D24">
      <w:pPr>
        <w:jc w:val="both"/>
        <w:rPr>
          <w:b/>
          <w:bCs/>
          <w:sz w:val="32"/>
          <w:szCs w:val="28"/>
          <w:shd w:val="clear" w:color="auto" w:fill="FFFFFF"/>
        </w:rPr>
      </w:pPr>
      <w:r w:rsidRPr="00FD0D24">
        <w:rPr>
          <w:b/>
          <w:bCs/>
          <w:sz w:val="32"/>
          <w:szCs w:val="28"/>
          <w:shd w:val="clear" w:color="auto" w:fill="FFFFFF"/>
        </w:rPr>
        <w:t xml:space="preserve">Electric Propellant Feed System </w:t>
      </w:r>
      <w:r w:rsidR="00114035" w:rsidRPr="00FD0D24">
        <w:rPr>
          <w:b/>
          <w:bCs/>
          <w:sz w:val="32"/>
          <w:szCs w:val="28"/>
          <w:shd w:val="clear" w:color="auto" w:fill="FFFFFF"/>
        </w:rPr>
        <w:t>Centrifugal Pump Perf</w:t>
      </w:r>
      <w:r w:rsidR="00BB160B" w:rsidRPr="00FD0D24">
        <w:rPr>
          <w:b/>
          <w:bCs/>
          <w:sz w:val="32"/>
          <w:szCs w:val="28"/>
          <w:shd w:val="clear" w:color="auto" w:fill="FFFFFF"/>
        </w:rPr>
        <w:t>ormance Test</w:t>
      </w:r>
    </w:p>
    <w:p w:rsidR="00CC58E0" w:rsidRPr="00817751" w:rsidRDefault="00CC58E0" w:rsidP="00CC58E0">
      <w:pPr>
        <w:pStyle w:val="NormalWeb"/>
        <w:shd w:val="clear" w:color="auto" w:fill="FFFFFF"/>
        <w:spacing w:before="240" w:beforeAutospacing="0" w:after="360" w:afterAutospacing="0"/>
        <w:jc w:val="both"/>
        <w:rPr>
          <w:i/>
          <w:szCs w:val="22"/>
        </w:rPr>
      </w:pPr>
      <w:r w:rsidRPr="00817751">
        <w:rPr>
          <w:b/>
          <w:bCs/>
          <w:i/>
          <w:szCs w:val="22"/>
        </w:rPr>
        <w:t>1. Scope</w:t>
      </w:r>
    </w:p>
    <w:p w:rsidR="00CC58E0" w:rsidRPr="00E167C5" w:rsidRDefault="00CC58E0" w:rsidP="00BB160B">
      <w:pPr>
        <w:pStyle w:val="NormalWeb"/>
        <w:shd w:val="clear" w:color="auto" w:fill="FFFFFF"/>
        <w:spacing w:before="240" w:beforeAutospacing="0" w:after="360" w:afterAutospacing="0"/>
        <w:jc w:val="both"/>
        <w:rPr>
          <w:sz w:val="22"/>
          <w:szCs w:val="22"/>
        </w:rPr>
      </w:pPr>
      <w:r w:rsidRPr="00E167C5">
        <w:rPr>
          <w:sz w:val="22"/>
          <w:szCs w:val="22"/>
        </w:rPr>
        <w:t>This description of procedure defines the conditions for the hydraulic testing of the electric feed system centrifugal pump.</w:t>
      </w:r>
    </w:p>
    <w:p w:rsidR="00CC58E0" w:rsidRPr="00817751" w:rsidRDefault="00CC58E0" w:rsidP="00BB160B">
      <w:pPr>
        <w:pStyle w:val="NormalWeb"/>
        <w:shd w:val="clear" w:color="auto" w:fill="FFFFFF"/>
        <w:spacing w:before="240" w:beforeAutospacing="0" w:after="360" w:afterAutospacing="0"/>
        <w:jc w:val="both"/>
        <w:rPr>
          <w:b/>
          <w:bCs/>
          <w:i/>
          <w:szCs w:val="22"/>
        </w:rPr>
      </w:pPr>
      <w:r w:rsidRPr="00817751">
        <w:rPr>
          <w:b/>
          <w:bCs/>
          <w:i/>
          <w:szCs w:val="22"/>
        </w:rPr>
        <w:t>2.</w:t>
      </w:r>
      <w:r w:rsidRPr="00817751">
        <w:rPr>
          <w:rStyle w:val="apple-converted-space"/>
          <w:b/>
          <w:bCs/>
          <w:i/>
          <w:szCs w:val="22"/>
        </w:rPr>
        <w:t> </w:t>
      </w:r>
      <w:r w:rsidRPr="00817751">
        <w:rPr>
          <w:b/>
          <w:bCs/>
          <w:i/>
          <w:szCs w:val="22"/>
        </w:rPr>
        <w:t>Objective</w:t>
      </w:r>
    </w:p>
    <w:p w:rsidR="001023A5" w:rsidRPr="00BB160B" w:rsidRDefault="001023A5" w:rsidP="00BB160B">
      <w:pPr>
        <w:pStyle w:val="NormalWeb"/>
        <w:shd w:val="clear" w:color="auto" w:fill="FFFFFF"/>
        <w:spacing w:before="240" w:beforeAutospacing="0" w:after="360" w:afterAutospacing="0"/>
        <w:jc w:val="both"/>
        <w:rPr>
          <w:sz w:val="22"/>
          <w:szCs w:val="22"/>
        </w:rPr>
      </w:pPr>
      <w:r w:rsidRPr="00BB160B">
        <w:rPr>
          <w:bCs/>
          <w:sz w:val="22"/>
          <w:szCs w:val="22"/>
        </w:rPr>
        <w:t>The objectives of testing the electric feed systems centrifugal pump are</w:t>
      </w:r>
      <w:r w:rsidR="00674153">
        <w:rPr>
          <w:bCs/>
          <w:sz w:val="22"/>
          <w:szCs w:val="22"/>
        </w:rPr>
        <w:t xml:space="preserve"> to</w:t>
      </w:r>
      <w:r w:rsidRPr="00BB160B">
        <w:rPr>
          <w:bCs/>
          <w:sz w:val="22"/>
          <w:szCs w:val="22"/>
        </w:rPr>
        <w:t>:</w:t>
      </w:r>
    </w:p>
    <w:p w:rsidR="001023A5" w:rsidRPr="001023A5" w:rsidRDefault="001023A5" w:rsidP="00BB160B">
      <w:pPr>
        <w:pStyle w:val="guidanceintrobullet"/>
        <w:tabs>
          <w:tab w:val="clear" w:pos="360"/>
          <w:tab w:val="num" w:pos="420"/>
        </w:tabs>
        <w:ind w:left="420" w:hanging="360"/>
        <w:jc w:val="both"/>
        <w:rPr>
          <w:sz w:val="22"/>
          <w:szCs w:val="22"/>
        </w:rPr>
      </w:pPr>
      <w:r w:rsidRPr="001023A5">
        <w:rPr>
          <w:sz w:val="22"/>
          <w:szCs w:val="22"/>
        </w:rPr>
        <w:t>Document system pump performance.</w:t>
      </w:r>
    </w:p>
    <w:p w:rsidR="001023A5" w:rsidRPr="001023A5" w:rsidRDefault="001023A5" w:rsidP="00BB160B">
      <w:pPr>
        <w:pStyle w:val="guidanceintrobullet"/>
        <w:tabs>
          <w:tab w:val="clear" w:pos="360"/>
          <w:tab w:val="num" w:pos="420"/>
        </w:tabs>
        <w:ind w:left="420" w:hanging="360"/>
        <w:jc w:val="both"/>
        <w:rPr>
          <w:sz w:val="22"/>
          <w:szCs w:val="22"/>
        </w:rPr>
      </w:pPr>
      <w:r w:rsidRPr="001023A5">
        <w:rPr>
          <w:sz w:val="22"/>
          <w:szCs w:val="22"/>
        </w:rPr>
        <w:t>Establish the system curve for the pumping system.</w:t>
      </w:r>
    </w:p>
    <w:p w:rsidR="001023A5" w:rsidRPr="001023A5" w:rsidRDefault="001023A5" w:rsidP="00BB160B">
      <w:pPr>
        <w:pStyle w:val="guidanceintrobullet"/>
        <w:tabs>
          <w:tab w:val="clear" w:pos="360"/>
          <w:tab w:val="left" w:pos="720"/>
        </w:tabs>
        <w:ind w:left="420" w:hanging="360"/>
        <w:jc w:val="both"/>
        <w:rPr>
          <w:sz w:val="22"/>
          <w:szCs w:val="22"/>
        </w:rPr>
      </w:pPr>
      <w:r w:rsidRPr="001023A5">
        <w:rPr>
          <w:sz w:val="22"/>
          <w:szCs w:val="22"/>
        </w:rPr>
        <w:t xml:space="preserve">Determine the operating point of the pump; i.e. the point where the pump’s impeller curve crosses the system curve with the discharge valve throttled and with the discharge valve fully open. </w:t>
      </w:r>
    </w:p>
    <w:p w:rsidR="001023A5" w:rsidRPr="001023A5" w:rsidRDefault="001023A5" w:rsidP="00BB160B">
      <w:pPr>
        <w:pStyle w:val="guidanceintrobullet"/>
        <w:tabs>
          <w:tab w:val="clear" w:pos="360"/>
          <w:tab w:val="left" w:pos="720"/>
        </w:tabs>
        <w:ind w:left="420" w:hanging="360"/>
        <w:jc w:val="both"/>
        <w:rPr>
          <w:sz w:val="22"/>
          <w:szCs w:val="22"/>
        </w:rPr>
      </w:pPr>
      <w:r w:rsidRPr="001023A5">
        <w:rPr>
          <w:sz w:val="22"/>
          <w:szCs w:val="22"/>
        </w:rPr>
        <w:t>Assess the match between “full flow”—flow delivered by the</w:t>
      </w:r>
      <w:r>
        <w:rPr>
          <w:sz w:val="22"/>
          <w:szCs w:val="22"/>
        </w:rPr>
        <w:t xml:space="preserve"> EFS</w:t>
      </w:r>
      <w:r w:rsidRPr="001023A5">
        <w:rPr>
          <w:sz w:val="22"/>
          <w:szCs w:val="22"/>
        </w:rPr>
        <w:t xml:space="preserve"> pump with the discharge valve fully open—and the actual design flow requirement. </w:t>
      </w:r>
    </w:p>
    <w:p w:rsidR="001023A5" w:rsidRPr="001023A5" w:rsidRDefault="001023A5" w:rsidP="00BB160B">
      <w:pPr>
        <w:pStyle w:val="guidanceintrobullet"/>
        <w:tabs>
          <w:tab w:val="clear" w:pos="360"/>
          <w:tab w:val="left" w:pos="720"/>
        </w:tabs>
        <w:ind w:left="420" w:hanging="360"/>
        <w:jc w:val="both"/>
        <w:rPr>
          <w:sz w:val="22"/>
          <w:szCs w:val="22"/>
        </w:rPr>
      </w:pPr>
      <w:r w:rsidRPr="001023A5">
        <w:rPr>
          <w:sz w:val="22"/>
          <w:szCs w:val="22"/>
        </w:rPr>
        <w:t xml:space="preserve">Assess the implications </w:t>
      </w:r>
      <w:r>
        <w:rPr>
          <w:sz w:val="22"/>
          <w:szCs w:val="22"/>
        </w:rPr>
        <w:t xml:space="preserve">of </w:t>
      </w:r>
      <w:r w:rsidRPr="001023A5">
        <w:rPr>
          <w:sz w:val="22"/>
          <w:szCs w:val="22"/>
        </w:rPr>
        <w:t>modify</w:t>
      </w:r>
      <w:r>
        <w:rPr>
          <w:sz w:val="22"/>
          <w:szCs w:val="22"/>
        </w:rPr>
        <w:t>ing</w:t>
      </w:r>
      <w:r w:rsidRPr="001023A5">
        <w:rPr>
          <w:sz w:val="22"/>
          <w:szCs w:val="22"/>
        </w:rPr>
        <w:t xml:space="preserve"> pump performa</w:t>
      </w:r>
      <w:r>
        <w:rPr>
          <w:sz w:val="22"/>
          <w:szCs w:val="22"/>
        </w:rPr>
        <w:t>nce via trimming the impeller, adding a cutwater, and using impellers of differing solidity</w:t>
      </w:r>
      <w:r w:rsidRPr="001023A5">
        <w:rPr>
          <w:sz w:val="22"/>
          <w:szCs w:val="22"/>
        </w:rPr>
        <w:t xml:space="preserve">.  </w:t>
      </w:r>
    </w:p>
    <w:p w:rsidR="001023A5" w:rsidRDefault="001023A5" w:rsidP="00BB160B">
      <w:pPr>
        <w:pStyle w:val="guidanceintrobullet"/>
        <w:tabs>
          <w:tab w:val="clear" w:pos="360"/>
          <w:tab w:val="left" w:pos="720"/>
        </w:tabs>
        <w:ind w:left="420" w:hanging="360"/>
        <w:jc w:val="both"/>
        <w:rPr>
          <w:sz w:val="22"/>
          <w:szCs w:val="22"/>
        </w:rPr>
      </w:pPr>
      <w:r w:rsidRPr="001023A5">
        <w:rPr>
          <w:sz w:val="22"/>
          <w:szCs w:val="22"/>
        </w:rPr>
        <w:t>Detect and diagnose other control or performance problems.</w:t>
      </w:r>
    </w:p>
    <w:p w:rsidR="00CC58E0" w:rsidRPr="00E167C5" w:rsidRDefault="00CC58E0" w:rsidP="00BB160B">
      <w:pPr>
        <w:pStyle w:val="NormalWeb"/>
        <w:shd w:val="clear" w:color="auto" w:fill="FFFFFF"/>
        <w:spacing w:before="240" w:beforeAutospacing="0" w:after="360" w:afterAutospacing="0"/>
        <w:jc w:val="both"/>
        <w:rPr>
          <w:sz w:val="22"/>
          <w:szCs w:val="22"/>
        </w:rPr>
      </w:pPr>
      <w:r w:rsidRPr="00E167C5">
        <w:rPr>
          <w:sz w:val="22"/>
          <w:szCs w:val="22"/>
        </w:rPr>
        <w:t xml:space="preserve">Preparation of test reports and test curves </w:t>
      </w:r>
      <w:r w:rsidR="006E364E" w:rsidRPr="00E167C5">
        <w:rPr>
          <w:sz w:val="22"/>
          <w:szCs w:val="22"/>
        </w:rPr>
        <w:t>are an</w:t>
      </w:r>
      <w:r w:rsidRPr="00E167C5">
        <w:rPr>
          <w:sz w:val="22"/>
          <w:szCs w:val="22"/>
        </w:rPr>
        <w:t xml:space="preserve"> integral part of the test documentation.</w:t>
      </w:r>
    </w:p>
    <w:p w:rsidR="00BB160B" w:rsidRDefault="00CB5721" w:rsidP="00817751">
      <w:pPr>
        <w:pStyle w:val="NormalWeb"/>
        <w:shd w:val="clear" w:color="auto" w:fill="FFFFFF"/>
        <w:spacing w:before="240" w:beforeAutospacing="0" w:after="360" w:afterAutospacing="0"/>
        <w:jc w:val="both"/>
        <w:rPr>
          <w:b/>
          <w:bCs/>
          <w:i/>
          <w:szCs w:val="22"/>
        </w:rPr>
      </w:pPr>
      <w:r w:rsidRPr="00817751">
        <w:rPr>
          <w:b/>
          <w:bCs/>
          <w:i/>
          <w:szCs w:val="22"/>
        </w:rPr>
        <w:t>3. Centrifugal Pump Performance</w:t>
      </w:r>
      <w:r w:rsidRPr="00817751">
        <w:rPr>
          <w:rStyle w:val="apple-converted-space"/>
          <w:b/>
          <w:bCs/>
          <w:i/>
          <w:szCs w:val="22"/>
        </w:rPr>
        <w:t> </w:t>
      </w:r>
      <w:r w:rsidRPr="00817751">
        <w:rPr>
          <w:b/>
          <w:bCs/>
          <w:i/>
          <w:szCs w:val="22"/>
        </w:rPr>
        <w:t>Test procedure</w:t>
      </w:r>
    </w:p>
    <w:p w:rsidR="00FD0D24" w:rsidRPr="00FD0D24" w:rsidRDefault="00FD0D24" w:rsidP="00FD0D24">
      <w:pPr>
        <w:pStyle w:val="NormalWeb"/>
        <w:numPr>
          <w:ilvl w:val="0"/>
          <w:numId w:val="2"/>
        </w:numPr>
        <w:shd w:val="clear" w:color="auto" w:fill="FFFFFF"/>
        <w:spacing w:before="0" w:beforeAutospacing="0" w:after="0" w:afterAutospacing="0"/>
        <w:jc w:val="both"/>
        <w:rPr>
          <w:sz w:val="22"/>
          <w:szCs w:val="22"/>
        </w:rPr>
      </w:pPr>
      <w:r w:rsidRPr="00FD0D24">
        <w:rPr>
          <w:sz w:val="22"/>
          <w:szCs w:val="22"/>
        </w:rPr>
        <w:t>H-Q</w:t>
      </w:r>
    </w:p>
    <w:p w:rsidR="00FD0D24" w:rsidRPr="00FD0D24" w:rsidRDefault="00FD0D24" w:rsidP="00FD0D24">
      <w:pPr>
        <w:pStyle w:val="NormalWeb"/>
        <w:shd w:val="clear" w:color="auto" w:fill="FFFFFF"/>
        <w:spacing w:before="0" w:beforeAutospacing="0" w:after="0" w:afterAutospacing="0"/>
        <w:ind w:left="720"/>
        <w:jc w:val="both"/>
        <w:rPr>
          <w:sz w:val="22"/>
          <w:szCs w:val="22"/>
        </w:rPr>
      </w:pPr>
    </w:p>
    <w:p w:rsidR="00FD0D24" w:rsidRPr="00FD0D24" w:rsidRDefault="00FD0D24" w:rsidP="006A34A2">
      <w:pPr>
        <w:pStyle w:val="NormalWeb"/>
        <w:shd w:val="clear" w:color="auto" w:fill="FFFFFF"/>
        <w:spacing w:before="0" w:beforeAutospacing="0" w:after="0" w:afterAutospacing="0"/>
        <w:ind w:left="360"/>
        <w:jc w:val="both"/>
        <w:rPr>
          <w:sz w:val="22"/>
          <w:szCs w:val="22"/>
        </w:rPr>
      </w:pPr>
      <w:r w:rsidRPr="00FD0D24">
        <w:rPr>
          <w:sz w:val="22"/>
          <w:szCs w:val="22"/>
          <w:shd w:val="clear" w:color="auto" w:fill="FFFFFF"/>
        </w:rPr>
        <w:t xml:space="preserve">The test is carried out at a nominally constant shaft speed, and the head (H) decreases as flowrate further (q) increases. The first set of measurements is taken at some duty point (100 percent q?). The discharge control valve is opened to give a flowrate greater than the duty flow (normally 120 or 130 percent q), and readings are taken. The valve is then closed in a series of steps, progressively decreasing the flow (right to left on our Q-H curve).We need to figure out if the final reading can be taken with the valve closed, i.e. the q = 0 or shut-off condition. </w:t>
      </w:r>
    </w:p>
    <w:p w:rsidR="00FD0D24" w:rsidRPr="00FD0D24" w:rsidRDefault="00FD0D24" w:rsidP="006A34A2">
      <w:pPr>
        <w:pStyle w:val="NormalWeb"/>
        <w:shd w:val="clear" w:color="auto" w:fill="FFFFFF"/>
        <w:spacing w:before="0" w:beforeAutospacing="0" w:after="0" w:afterAutospacing="0"/>
        <w:ind w:left="720"/>
        <w:jc w:val="both"/>
        <w:rPr>
          <w:sz w:val="22"/>
          <w:szCs w:val="22"/>
        </w:rPr>
      </w:pPr>
    </w:p>
    <w:p w:rsidR="00FD0D24" w:rsidRPr="00FD0D24" w:rsidRDefault="00FD0D24" w:rsidP="006A34A2">
      <w:pPr>
        <w:pStyle w:val="NormalWeb"/>
        <w:numPr>
          <w:ilvl w:val="0"/>
          <w:numId w:val="2"/>
        </w:numPr>
        <w:shd w:val="clear" w:color="auto" w:fill="FFFFFF"/>
        <w:spacing w:before="0" w:beforeAutospacing="0" w:after="0" w:afterAutospacing="0"/>
        <w:jc w:val="both"/>
        <w:rPr>
          <w:sz w:val="22"/>
          <w:szCs w:val="22"/>
        </w:rPr>
      </w:pPr>
      <w:r w:rsidRPr="00FD0D24">
        <w:rPr>
          <w:sz w:val="22"/>
          <w:szCs w:val="22"/>
        </w:rPr>
        <w:t>P-Q</w:t>
      </w:r>
    </w:p>
    <w:p w:rsidR="00FD0D24" w:rsidRPr="00FD0D24" w:rsidRDefault="00FD0D24" w:rsidP="006A34A2">
      <w:pPr>
        <w:pStyle w:val="NormalWeb"/>
        <w:shd w:val="clear" w:color="auto" w:fill="FFFFFF"/>
        <w:spacing w:before="0" w:beforeAutospacing="0" w:after="0" w:afterAutospacing="0"/>
        <w:jc w:val="both"/>
        <w:rPr>
          <w:sz w:val="22"/>
          <w:szCs w:val="22"/>
        </w:rPr>
      </w:pPr>
    </w:p>
    <w:p w:rsidR="00FD0D24" w:rsidRPr="00FD0D24" w:rsidRDefault="00FD0D24" w:rsidP="006A34A2">
      <w:pPr>
        <w:pStyle w:val="NormalWeb"/>
        <w:shd w:val="clear" w:color="auto" w:fill="FFFFFF"/>
        <w:spacing w:before="0" w:beforeAutospacing="0" w:after="0" w:afterAutospacing="0"/>
        <w:ind w:left="360"/>
        <w:jc w:val="both"/>
        <w:rPr>
          <w:sz w:val="22"/>
          <w:szCs w:val="22"/>
          <w:shd w:val="clear" w:color="auto" w:fill="FFFFFF"/>
        </w:rPr>
      </w:pPr>
      <w:r w:rsidRPr="00FD0D24">
        <w:rPr>
          <w:sz w:val="22"/>
          <w:szCs w:val="22"/>
          <w:shd w:val="clear" w:color="auto" w:fill="FFFFFF"/>
        </w:rPr>
        <w:t>The power consumption is measured at different flowrates similarly, and the power-flowrate curve is plotted. A wattmeter is connected to motor power input, by multiplying wattmeter amount at motor efficiency the motor output power is calculated at different flowrates. Through these corresponding readings, the power-flowrate curve is plotted.</w:t>
      </w:r>
    </w:p>
    <w:p w:rsidR="00FD0D24" w:rsidRPr="00FD0D24" w:rsidRDefault="00FD0D24" w:rsidP="006A34A2">
      <w:pPr>
        <w:pStyle w:val="NormalWeb"/>
        <w:shd w:val="clear" w:color="auto" w:fill="FFFFFF"/>
        <w:spacing w:before="0" w:beforeAutospacing="0" w:after="0" w:afterAutospacing="0"/>
        <w:jc w:val="both"/>
        <w:rPr>
          <w:sz w:val="22"/>
          <w:szCs w:val="22"/>
        </w:rPr>
      </w:pPr>
    </w:p>
    <w:p w:rsidR="00FD0D24" w:rsidRPr="00FD0D24" w:rsidRDefault="00FD0D24" w:rsidP="006A34A2">
      <w:pPr>
        <w:pStyle w:val="NormalWeb"/>
        <w:numPr>
          <w:ilvl w:val="0"/>
          <w:numId w:val="2"/>
        </w:numPr>
        <w:shd w:val="clear" w:color="auto" w:fill="FFFFFF"/>
        <w:spacing w:before="0" w:beforeAutospacing="0" w:after="0" w:afterAutospacing="0"/>
        <w:jc w:val="both"/>
        <w:rPr>
          <w:sz w:val="22"/>
          <w:szCs w:val="22"/>
        </w:rPr>
      </w:pPr>
      <w:r w:rsidRPr="00FD0D24">
        <w:rPr>
          <w:sz w:val="22"/>
          <w:szCs w:val="22"/>
        </w:rPr>
        <w:t>η-Q</w:t>
      </w:r>
    </w:p>
    <w:p w:rsidR="00FD0D24" w:rsidRPr="00FD0D24" w:rsidRDefault="00FD0D24" w:rsidP="006A34A2">
      <w:pPr>
        <w:pStyle w:val="NormalWeb"/>
        <w:shd w:val="clear" w:color="auto" w:fill="FFFFFF"/>
        <w:spacing w:before="0" w:beforeAutospacing="0" w:after="0" w:afterAutospacing="0"/>
        <w:jc w:val="both"/>
        <w:rPr>
          <w:sz w:val="22"/>
          <w:szCs w:val="22"/>
        </w:rPr>
      </w:pPr>
    </w:p>
    <w:p w:rsidR="00FD0D24" w:rsidRPr="00FD0D24" w:rsidRDefault="00FD0D24" w:rsidP="006A34A2">
      <w:pPr>
        <w:pStyle w:val="NormalWeb"/>
        <w:shd w:val="clear" w:color="auto" w:fill="FFFFFF"/>
        <w:spacing w:before="0" w:beforeAutospacing="0" w:after="0" w:afterAutospacing="0"/>
        <w:ind w:left="360"/>
        <w:jc w:val="both"/>
        <w:rPr>
          <w:sz w:val="22"/>
          <w:szCs w:val="22"/>
        </w:rPr>
      </w:pPr>
      <w:r w:rsidRPr="00FD0D24">
        <w:rPr>
          <w:sz w:val="22"/>
          <w:szCs w:val="22"/>
          <w:shd w:val="clear" w:color="auto" w:fill="FFFFFF"/>
        </w:rPr>
        <w:t>Pump efficiency (ƞ): the efficiency is the ratio of transferred mechanical work of the fluid to consumed power (P) in watts by the pump. We can plot the efficiency-flowrate (ƞ-Q) curve based on measured values from combination of H-q curve and P-q curve</w:t>
      </w:r>
      <w:r w:rsidRPr="00FD0D24">
        <w:rPr>
          <w:rStyle w:val="apple-converted-space"/>
          <w:sz w:val="22"/>
          <w:szCs w:val="22"/>
          <w:shd w:val="clear" w:color="auto" w:fill="FFFFFF"/>
        </w:rPr>
        <w:t>.</w:t>
      </w:r>
    </w:p>
    <w:p w:rsidR="002D78E0" w:rsidRPr="00817751" w:rsidRDefault="00BB160B" w:rsidP="006A34A2">
      <w:pPr>
        <w:pStyle w:val="GuidanceHeading1"/>
        <w:jc w:val="both"/>
        <w:rPr>
          <w:rFonts w:ascii="Times New Roman" w:hAnsi="Times New Roman" w:cs="Times New Roman"/>
          <w:i/>
        </w:rPr>
      </w:pPr>
      <w:r w:rsidRPr="00817751">
        <w:rPr>
          <w:rFonts w:ascii="Times New Roman" w:hAnsi="Times New Roman" w:cs="Times New Roman"/>
          <w:i/>
          <w:shd w:val="clear" w:color="auto" w:fill="FFFFFF"/>
        </w:rPr>
        <w:lastRenderedPageBreak/>
        <w:t xml:space="preserve">4. </w:t>
      </w:r>
      <w:r w:rsidR="002D78E0" w:rsidRPr="00817751">
        <w:rPr>
          <w:rFonts w:ascii="Times New Roman" w:hAnsi="Times New Roman" w:cs="Times New Roman"/>
          <w:i/>
        </w:rPr>
        <w:t>Test Precautions</w:t>
      </w:r>
      <w:bookmarkStart w:id="0" w:name="_GoBack"/>
      <w:bookmarkEnd w:id="0"/>
    </w:p>
    <w:p w:rsidR="002D78E0" w:rsidRPr="002D78E0" w:rsidRDefault="002D78E0" w:rsidP="006A34A2">
      <w:pPr>
        <w:pStyle w:val="BodyText"/>
        <w:jc w:val="both"/>
      </w:pP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 xml:space="preserve">Exercise care when changing operating </w:t>
      </w:r>
      <w:r>
        <w:rPr>
          <w:sz w:val="22"/>
          <w:szCs w:val="22"/>
        </w:rPr>
        <w:t xml:space="preserve">RPM </w:t>
      </w:r>
      <w:r w:rsidRPr="002D78E0">
        <w:rPr>
          <w:sz w:val="22"/>
          <w:szCs w:val="22"/>
        </w:rPr>
        <w:t>if the equipment served by the pump is in operation.</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Avoid sudden flow changes to minimize the potential for water hammer, es</w:t>
      </w:r>
      <w:r>
        <w:rPr>
          <w:sz w:val="22"/>
          <w:szCs w:val="22"/>
        </w:rPr>
        <w:t>pecially when throttling the discharge</w:t>
      </w:r>
      <w:r w:rsidRPr="002D78E0">
        <w:rPr>
          <w:sz w:val="22"/>
          <w:szCs w:val="22"/>
        </w:rPr>
        <w:t xml:space="preserve"> valve for a shut-off test. </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Exercise proper caution when working around live wiring and terminals and taking voltage or amp readings.</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Exercise proper caution while working around the rotating parts of the pump.</w:t>
      </w:r>
    </w:p>
    <w:p w:rsidR="00CC58E0" w:rsidRDefault="00CC58E0"/>
    <w:sectPr w:rsidR="00CC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00832"/>
    <w:multiLevelType w:val="hybridMultilevel"/>
    <w:tmpl w:val="71D8D460"/>
    <w:lvl w:ilvl="0" w:tplc="921A6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63AA0"/>
    <w:multiLevelType w:val="hybridMultilevel"/>
    <w:tmpl w:val="8DCAEB42"/>
    <w:lvl w:ilvl="0" w:tplc="E514C4BC">
      <w:start w:val="1"/>
      <w:numFmt w:val="bullet"/>
      <w:pStyle w:val="guidanceintrobullet"/>
      <w:lvlText w:val=""/>
      <w:lvlJc w:val="left"/>
      <w:pPr>
        <w:tabs>
          <w:tab w:val="num" w:pos="420"/>
        </w:tabs>
        <w:ind w:left="420" w:hanging="360"/>
      </w:pPr>
      <w:rPr>
        <w:rFonts w:ascii="Symbol" w:hAnsi="Symbol" w:hint="default"/>
        <w:b w:val="0"/>
        <w:i w:val="0"/>
        <w:color w:val="auto"/>
        <w:sz w:val="20"/>
        <w:szCs w:val="20"/>
      </w:rPr>
    </w:lvl>
    <w:lvl w:ilvl="1" w:tplc="8466A9BA">
      <w:start w:val="1"/>
      <w:numFmt w:val="bullet"/>
      <w:lvlText w:val=""/>
      <w:lvlJc w:val="left"/>
      <w:pPr>
        <w:tabs>
          <w:tab w:val="num" w:pos="1500"/>
        </w:tabs>
        <w:ind w:left="1324" w:hanging="184"/>
      </w:pPr>
      <w:rPr>
        <w:rFonts w:ascii="Wingdings" w:hAnsi="Wingdings" w:hint="default"/>
        <w:b w:val="0"/>
        <w:i w:val="0"/>
        <w:color w:val="auto"/>
        <w:sz w:val="20"/>
        <w:szCs w:val="28"/>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7B8A3E4B"/>
    <w:multiLevelType w:val="hybridMultilevel"/>
    <w:tmpl w:val="235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0"/>
    <w:rsid w:val="000D0C97"/>
    <w:rsid w:val="001023A5"/>
    <w:rsid w:val="00114035"/>
    <w:rsid w:val="001751FA"/>
    <w:rsid w:val="002D78E0"/>
    <w:rsid w:val="003152DC"/>
    <w:rsid w:val="00674153"/>
    <w:rsid w:val="006A1F34"/>
    <w:rsid w:val="006A34A2"/>
    <w:rsid w:val="006E364E"/>
    <w:rsid w:val="00817751"/>
    <w:rsid w:val="0091584D"/>
    <w:rsid w:val="00A06049"/>
    <w:rsid w:val="00BB160B"/>
    <w:rsid w:val="00BE1432"/>
    <w:rsid w:val="00C62A7B"/>
    <w:rsid w:val="00CB5721"/>
    <w:rsid w:val="00CC58E0"/>
    <w:rsid w:val="00E167C5"/>
    <w:rsid w:val="00F926F0"/>
    <w:rsid w:val="00F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B54DC-5D27-428F-B5AE-66D3FE0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6F0"/>
  </w:style>
  <w:style w:type="paragraph" w:styleId="NormalWeb">
    <w:name w:val="Normal (Web)"/>
    <w:basedOn w:val="Normal"/>
    <w:uiPriority w:val="99"/>
    <w:unhideWhenUsed/>
    <w:rsid w:val="00CC5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6E364E"/>
    <w:rPr>
      <w:color w:val="808080"/>
    </w:rPr>
  </w:style>
  <w:style w:type="paragraph" w:customStyle="1" w:styleId="guidanceintrobullet">
    <w:name w:val="guidance intro bullet"/>
    <w:basedOn w:val="BodyText"/>
    <w:rsid w:val="001023A5"/>
    <w:pPr>
      <w:numPr>
        <w:numId w:val="3"/>
      </w:numPr>
      <w:tabs>
        <w:tab w:val="clear" w:pos="420"/>
        <w:tab w:val="num" w:pos="360"/>
      </w:tabs>
      <w:spacing w:after="60" w:line="240" w:lineRule="auto"/>
      <w:ind w:left="0" w:firstLine="0"/>
    </w:pPr>
    <w:rPr>
      <w:rFonts w:eastAsia="Times New Roman"/>
      <w:sz w:val="24"/>
      <w:szCs w:val="24"/>
    </w:rPr>
  </w:style>
  <w:style w:type="paragraph" w:styleId="BodyText">
    <w:name w:val="Body Text"/>
    <w:basedOn w:val="Normal"/>
    <w:link w:val="BodyTextChar"/>
    <w:uiPriority w:val="99"/>
    <w:semiHidden/>
    <w:unhideWhenUsed/>
    <w:rsid w:val="001023A5"/>
    <w:pPr>
      <w:spacing w:after="120"/>
    </w:pPr>
  </w:style>
  <w:style w:type="character" w:customStyle="1" w:styleId="BodyTextChar">
    <w:name w:val="Body Text Char"/>
    <w:basedOn w:val="DefaultParagraphFont"/>
    <w:link w:val="BodyText"/>
    <w:uiPriority w:val="99"/>
    <w:semiHidden/>
    <w:rsid w:val="001023A5"/>
  </w:style>
  <w:style w:type="character" w:customStyle="1" w:styleId="GuidanceHeading1Char">
    <w:name w:val="Guidance Heading 1 Char"/>
    <w:basedOn w:val="DefaultParagraphFont"/>
    <w:link w:val="GuidanceHeading1"/>
    <w:locked/>
    <w:rsid w:val="002D78E0"/>
    <w:rPr>
      <w:rFonts w:ascii="Arial" w:hAnsi="Arial" w:cs="Arial"/>
      <w:b/>
      <w:sz w:val="24"/>
    </w:rPr>
  </w:style>
  <w:style w:type="paragraph" w:customStyle="1" w:styleId="GuidanceHeading1">
    <w:name w:val="Guidance Heading 1"/>
    <w:basedOn w:val="Normal"/>
    <w:next w:val="BodyText"/>
    <w:link w:val="GuidanceHeading1Char"/>
    <w:rsid w:val="002D78E0"/>
    <w:pPr>
      <w:keepNext/>
      <w:spacing w:before="240" w:after="60" w:line="240" w:lineRule="auto"/>
    </w:pPr>
    <w:rPr>
      <w:rFonts w:ascii="Arial" w:hAnsi="Arial" w:cs="Arial"/>
      <w:b/>
      <w:sz w:val="24"/>
    </w:rPr>
  </w:style>
  <w:style w:type="character" w:customStyle="1" w:styleId="guidanceoutlinenumCharChar">
    <w:name w:val="guidance outline num Char Char"/>
    <w:basedOn w:val="DefaultParagraphFont"/>
    <w:link w:val="guidanceoutlinenum"/>
    <w:locked/>
    <w:rsid w:val="00CB5721"/>
  </w:style>
  <w:style w:type="paragraph" w:customStyle="1" w:styleId="guidanceoutlinenum">
    <w:name w:val="guidance outline num"/>
    <w:basedOn w:val="Normal"/>
    <w:link w:val="guidanceoutlinenumCharChar"/>
    <w:rsid w:val="00CB5721"/>
    <w:pPr>
      <w:spacing w:before="60" w:after="120" w:line="240" w:lineRule="auto"/>
      <w:ind w:left="1080" w:hanging="540"/>
    </w:pPr>
  </w:style>
  <w:style w:type="character" w:customStyle="1" w:styleId="GuidanceBodyHeadingChar">
    <w:name w:val="Guidance Body Heading Char"/>
    <w:basedOn w:val="DefaultParagraphFont"/>
    <w:link w:val="GuidanceBodyHeading"/>
    <w:locked/>
    <w:rsid w:val="00CB5721"/>
    <w:rPr>
      <w:rFonts w:ascii="Arial" w:hAnsi="Arial" w:cs="Arial"/>
      <w:b/>
      <w:sz w:val="32"/>
      <w:szCs w:val="32"/>
    </w:rPr>
  </w:style>
  <w:style w:type="paragraph" w:customStyle="1" w:styleId="GuidanceBodyHeading">
    <w:name w:val="Guidance Body Heading"/>
    <w:basedOn w:val="Normal"/>
    <w:link w:val="GuidanceBodyHeadingChar"/>
    <w:rsid w:val="00CB5721"/>
    <w:pPr>
      <w:tabs>
        <w:tab w:val="left" w:pos="540"/>
      </w:tabs>
      <w:spacing w:before="120" w:after="120" w:line="240" w:lineRule="auto"/>
      <w:ind w:left="540" w:hanging="540"/>
    </w:pPr>
    <w:rPr>
      <w:rFonts w:ascii="Arial" w:hAnsi="Arial" w:cs="Arial"/>
      <w:b/>
      <w:sz w:val="32"/>
      <w:szCs w:val="32"/>
    </w:rPr>
  </w:style>
  <w:style w:type="paragraph" w:customStyle="1" w:styleId="guidanceoutlinenum2">
    <w:name w:val="guidance outline num 2"/>
    <w:basedOn w:val="Normal"/>
    <w:rsid w:val="00CB5721"/>
    <w:pPr>
      <w:spacing w:before="60" w:after="120" w:line="240" w:lineRule="auto"/>
      <w:ind w:left="1800" w:hanging="720"/>
    </w:pPr>
    <w:rPr>
      <w:rFonts w:eastAsia="Times New Roman"/>
      <w:szCs w:val="20"/>
    </w:rPr>
  </w:style>
  <w:style w:type="character" w:customStyle="1" w:styleId="chguidancelabel">
    <w:name w:val="ch guidance label"/>
    <w:basedOn w:val="DefaultParagraphFont"/>
    <w:rsid w:val="00CB5721"/>
    <w:rPr>
      <w:rFonts w:ascii="Arial" w:hAnsi="Arial" w:cs="Arial" w:hint="default"/>
      <w:b/>
      <w:b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344">
      <w:bodyDiv w:val="1"/>
      <w:marLeft w:val="0"/>
      <w:marRight w:val="0"/>
      <w:marTop w:val="0"/>
      <w:marBottom w:val="0"/>
      <w:divBdr>
        <w:top w:val="none" w:sz="0" w:space="0" w:color="auto"/>
        <w:left w:val="none" w:sz="0" w:space="0" w:color="auto"/>
        <w:bottom w:val="none" w:sz="0" w:space="0" w:color="auto"/>
        <w:right w:val="none" w:sz="0" w:space="0" w:color="auto"/>
      </w:divBdr>
    </w:div>
    <w:div w:id="266739892">
      <w:bodyDiv w:val="1"/>
      <w:marLeft w:val="0"/>
      <w:marRight w:val="0"/>
      <w:marTop w:val="0"/>
      <w:marBottom w:val="0"/>
      <w:divBdr>
        <w:top w:val="none" w:sz="0" w:space="0" w:color="auto"/>
        <w:left w:val="none" w:sz="0" w:space="0" w:color="auto"/>
        <w:bottom w:val="none" w:sz="0" w:space="0" w:color="auto"/>
        <w:right w:val="none" w:sz="0" w:space="0" w:color="auto"/>
      </w:divBdr>
    </w:div>
    <w:div w:id="676926422">
      <w:bodyDiv w:val="1"/>
      <w:marLeft w:val="0"/>
      <w:marRight w:val="0"/>
      <w:marTop w:val="0"/>
      <w:marBottom w:val="0"/>
      <w:divBdr>
        <w:top w:val="none" w:sz="0" w:space="0" w:color="auto"/>
        <w:left w:val="none" w:sz="0" w:space="0" w:color="auto"/>
        <w:bottom w:val="none" w:sz="0" w:space="0" w:color="auto"/>
        <w:right w:val="none" w:sz="0" w:space="0" w:color="auto"/>
      </w:divBdr>
    </w:div>
    <w:div w:id="758983553">
      <w:bodyDiv w:val="1"/>
      <w:marLeft w:val="0"/>
      <w:marRight w:val="0"/>
      <w:marTop w:val="0"/>
      <w:marBottom w:val="0"/>
      <w:divBdr>
        <w:top w:val="none" w:sz="0" w:space="0" w:color="auto"/>
        <w:left w:val="none" w:sz="0" w:space="0" w:color="auto"/>
        <w:bottom w:val="none" w:sz="0" w:space="0" w:color="auto"/>
        <w:right w:val="none" w:sz="0" w:space="0" w:color="auto"/>
      </w:divBdr>
    </w:div>
    <w:div w:id="855079799">
      <w:bodyDiv w:val="1"/>
      <w:marLeft w:val="0"/>
      <w:marRight w:val="0"/>
      <w:marTop w:val="0"/>
      <w:marBottom w:val="0"/>
      <w:divBdr>
        <w:top w:val="none" w:sz="0" w:space="0" w:color="auto"/>
        <w:left w:val="none" w:sz="0" w:space="0" w:color="auto"/>
        <w:bottom w:val="none" w:sz="0" w:space="0" w:color="auto"/>
        <w:right w:val="none" w:sz="0" w:space="0" w:color="auto"/>
      </w:divBdr>
    </w:div>
    <w:div w:id="15247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Froehlich</dc:creator>
  <cp:keywords/>
  <dc:description/>
  <cp:lastModifiedBy>Johnny Froehlich</cp:lastModifiedBy>
  <cp:revision>2</cp:revision>
  <dcterms:created xsi:type="dcterms:W3CDTF">2017-04-16T03:31:00Z</dcterms:created>
  <dcterms:modified xsi:type="dcterms:W3CDTF">2017-04-16T03:31:00Z</dcterms:modified>
</cp:coreProperties>
</file>