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Theoretical Framework</w:t>
      </w:r>
    </w:p>
    <w:p>
      <w:pPr>
        <w:pStyle w:val="Normal"/>
        <w:bidi w:val="0"/>
        <w:jc w:val="start"/>
        <w:rPr/>
      </w:pPr>
      <w:r>
        <w:rPr/>
        <w:t xml:space="preserve">I have decided to create an composite indicator to measure and compare education systems between countries. </w:t>
      </w:r>
    </w:p>
    <w:p>
      <w:pPr>
        <w:pStyle w:val="Normal"/>
        <w:bidi w:val="0"/>
        <w:jc w:val="start"/>
        <w:rPr/>
      </w:pPr>
      <w:r>
        <w:rPr/>
        <w:t>From my research, I found the following: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Higher spending per student is associated with better outcomes for student later in life, especially for those from low-income families. This gives access to school resources the potential to reduce intergenerational-poverty. (Jackson et al. 2015)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Building on this, it has been found that a lack of qualified teachers is a sign of staffing problems (Ingersoll 2001), </w:t>
      </w:r>
      <w:r>
        <w:rPr/>
        <w:t>which leads to poorer student performance.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Exposure to high staff turnover leads to worse educational outcomes by students, although the effects of this disruption can be reduced through proper management. (Gibbons et al. 2021)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Gender equality within education is one of the most consistent factors in improving student outcomes. (Campbell 2021)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Data Selection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 used three datasets to construct this index: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 dataset from Kaggle, available </w:t>
      </w:r>
      <w:hyperlink w:anchor="_https%3A%2F%2Fwww.kaggle.com%2Fcode%2Fn">
        <w:r>
          <w:rPr>
            <w:rStyle w:val="Hyperlink"/>
            <w:b w:val="false"/>
            <w:bCs w:val="false"/>
            <w:i w:val="false"/>
            <w:iCs w:val="false"/>
            <w:sz w:val="24"/>
            <w:szCs w:val="24"/>
            <w:u w:val="none"/>
          </w:rPr>
          <w:t>here</w:t>
        </w:r>
      </w:hyperlink>
      <w:r>
        <w:rPr/>
        <w:t xml:space="preserve">, </w:t>
      </w:r>
      <w:r>
        <w:rPr/>
        <w:t>which contained data on enrollment rates, out-of-school rates, completion rates, maths and reading scores, and literacy rates. All of these categories were separated between male and female.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Education data from the World Bank, which contained education spending as a percentange of each countries’ GDP, split between primary, secondary and tertiary education and the expected years in education for males, females and the average.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Data from the UNESCO Institute of Statistics, which contained data on the number of compulsary years of education, the number of free years of education, the teacher:pupil ratio of primary and secondary education, the percentage of teachers who are qualified, and the attrition rates for teachers for pre-primary, primary and secondary education.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Imputation of Missing Data</w:t>
      </w:r>
    </w:p>
    <w:p>
      <w:pPr>
        <w:pStyle w:val="Normal"/>
        <w:bidi w:val="0"/>
        <w:jc w:val="start"/>
        <w:rPr/>
      </w:pPr>
      <w:r>
        <w:rPr/>
        <w:t>Every variable I selected, with the exception of compulsary schooling had at least one missing value. I addressed them as follows: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all variables gathered from the UNESCO Institute of Statistics, </w:t>
      </w:r>
      <w:r>
        <w:rPr/>
        <w:t>the World Bank and the Kaggle dataset</w:t>
      </w:r>
      <w:r>
        <w:rPr/>
        <w:t xml:space="preserve">, </w:t>
      </w:r>
      <w:r>
        <w:rPr/>
        <w:t>if a country had data for a particular variable for any year from 2011 to 2020, but not for 2021, I took an average of the years available instead, as while it would likely not be completely accurate, it would serve as good approximation.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the variables related to free schooling, I assumed that </w:t>
      </w:r>
      <w:r>
        <w:rPr/>
        <w:t>no data</w:t>
      </w:r>
      <w:r>
        <w:rPr/>
        <w:t xml:space="preserve"> meant that the respective country had none. I felt this was a reasonable solution as less than 25 countries were missing this information and mostly occured with countries with no formal schooling.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I decided to drop the variables related to teacher attrition, due to a lack of data. Less than 1/3 of courtries had this data available </w:t>
      </w:r>
      <w:r>
        <w:rPr/>
        <w:t>for any of the previos 10 years.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For the ratio between qualified teachers to pupils and the percentage of current teachers who are currently qualified, I replaced missing values with the global average.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Multivariate Analysis</w:t>
      </w:r>
    </w:p>
    <w:p>
      <w:pPr>
        <w:pStyle w:val="Normal"/>
        <w:bidi w:val="0"/>
        <w:jc w:val="start"/>
        <w:rPr/>
      </w:pPr>
      <w:r>
        <w:rPr/>
        <w:t>After carrying out multivariate analysis, some variables were very strongly corrolated with each other.  To address this, the following changes were made: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Principle Component Analysis was used to combine the six completion rate variables. This resulted in one component </w:t>
      </w:r>
      <w:r>
        <w:rPr/>
        <w:t>that explained 95% of the variance.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 xml:space="preserve">Principle Component Analysis was used to combine the </w:t>
      </w:r>
      <w:r>
        <w:rPr/>
        <w:t>out-of-school rate variables. This resulted in three components that explained a combined 95.5% of the variance.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The expected years of education for males and females were changed into one variable that represented the difference between the two.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This was repeated for the literacy rate variables.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The average of the math and reading scores was used instead of the two being separate.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Normalisation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br/>
        <w:t>Weighting and Aggregation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Links to other Indicators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Visualisation of Data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References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  <w:u w:val="none"/>
        </w:rPr>
        <w:t xml:space="preserve">Campbell, J.A., (2021). </w:t>
      </w:r>
      <w:r>
        <w:rPr/>
        <w:t xml:space="preserve">The Moderating Effect of Gender Equality and Other Factors on PISA and Education Policy. </w:t>
      </w:r>
      <w:r>
        <w:rPr>
          <w:rStyle w:val="Emphasis"/>
        </w:rPr>
        <w:t xml:space="preserve">Education Sciences </w:t>
      </w:r>
      <w:r>
        <w:rPr>
          <w:rStyle w:val="Emphasis"/>
          <w:i w:val="false"/>
          <w:iCs w:val="false"/>
        </w:rPr>
        <w:t xml:space="preserve">[online], 11(1). Available from: </w:t>
      </w:r>
      <w:hyperlink r:id="rId2">
        <w:r>
          <w:rPr>
            <w:rStyle w:val="Hyperlink"/>
            <w:i w:val="false"/>
            <w:iCs w:val="false"/>
          </w:rPr>
          <w:t>https://www.mdpi.com/2227-7102/11/1/10</w:t>
        </w:r>
      </w:hyperlink>
      <w:r>
        <w:rPr>
          <w:rStyle w:val="Emphasis"/>
          <w:i w:val="false"/>
          <w:iCs w:val="false"/>
        </w:rPr>
        <w:t xml:space="preserve"> [accessed 8</w:t>
      </w:r>
      <w:r>
        <w:rPr>
          <w:rStyle w:val="Emphasis"/>
          <w:i w:val="false"/>
          <w:iCs w:val="false"/>
          <w:vertAlign w:val="superscript"/>
        </w:rPr>
        <w:t>th</w:t>
      </w:r>
      <w:r>
        <w:rPr>
          <w:rStyle w:val="Emphasis"/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>
          <w:rStyle w:val="Emphasis"/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Gibbons, S., Scrutinio, V., Telhaj, S. (2021). </w:t>
      </w:r>
      <w:r>
        <w:rPr>
          <w:i/>
          <w:iCs/>
        </w:rPr>
        <w:t xml:space="preserve">Teacher turnover: Effects, mechanisms and organisational responses </w:t>
      </w:r>
      <w:r>
        <w:rPr>
          <w:i w:val="false"/>
          <w:iCs w:val="false"/>
        </w:rPr>
        <w:t xml:space="preserve">[online]. Available from: </w:t>
      </w:r>
      <w:hyperlink r:id="rId3">
        <w:r>
          <w:rPr>
            <w:rStyle w:val="Hyperlink"/>
            <w:i w:val="false"/>
            <w:iCs w:val="false"/>
          </w:rPr>
          <w:t>https://www.sciencedirect.com/science/article/pii/S0927537121001147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Ingeroll, R.M. (2001). </w:t>
      </w:r>
      <w:r>
        <w:rPr>
          <w:i/>
          <w:iCs/>
        </w:rPr>
        <w:t xml:space="preserve">Teacher Turnover and Teacher Shortages: An Organizational Analysis </w:t>
      </w:r>
      <w:r>
        <w:rPr>
          <w:i w:val="false"/>
          <w:iCs w:val="false"/>
        </w:rPr>
        <w:t xml:space="preserve">[online]. Available from: </w:t>
      </w:r>
      <w:hyperlink r:id="rId4">
        <w:r>
          <w:rPr>
            <w:rStyle w:val="Hyperlink"/>
            <w:i w:val="false"/>
            <w:iCs w:val="false"/>
          </w:rPr>
          <w:t>https://www.gse.upenn.edu/pdf/rmi/TeacherTurnoverTeacherShortages-RMI-Fall-2001.pdf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Jackson, C.K., Johnson, R.C., Persico, C. (2015). </w:t>
      </w:r>
      <w:r>
        <w:rPr>
          <w:i/>
          <w:iCs/>
        </w:rPr>
        <w:t xml:space="preserve">The </w:t>
      </w:r>
      <w:r>
        <w:rPr>
          <w:i/>
          <w:iCs/>
        </w:rPr>
        <w:t>E</w:t>
      </w:r>
      <w:r>
        <w:rPr>
          <w:i/>
          <w:iCs/>
        </w:rPr>
        <w:t xml:space="preserve">ffects of </w:t>
      </w:r>
      <w:r>
        <w:rPr>
          <w:i/>
          <w:iCs/>
        </w:rPr>
        <w:t>S</w:t>
      </w:r>
      <w:r>
        <w:rPr>
          <w:i/>
          <w:iCs/>
        </w:rPr>
        <w:t xml:space="preserve">chool </w:t>
      </w:r>
      <w:r>
        <w:rPr>
          <w:i/>
          <w:iCs/>
        </w:rPr>
        <w:t>S</w:t>
      </w:r>
      <w:r>
        <w:rPr>
          <w:i/>
          <w:iCs/>
        </w:rPr>
        <w:t xml:space="preserve">pending on </w:t>
      </w:r>
      <w:r>
        <w:rPr>
          <w:i/>
          <w:iCs/>
        </w:rPr>
        <w:t>E</w:t>
      </w:r>
      <w:r>
        <w:rPr>
          <w:i/>
          <w:iCs/>
        </w:rPr>
        <w:t xml:space="preserve">ducational and </w:t>
      </w:r>
      <w:r>
        <w:rPr>
          <w:i/>
          <w:iCs/>
        </w:rPr>
        <w:t>E</w:t>
      </w:r>
      <w:r>
        <w:rPr>
          <w:i/>
          <w:iCs/>
        </w:rPr>
        <w:t xml:space="preserve">conomic </w:t>
      </w:r>
      <w:r>
        <w:rPr>
          <w:i/>
          <w:iCs/>
        </w:rPr>
        <w:t>O</w:t>
      </w:r>
      <w:r>
        <w:rPr>
          <w:i/>
          <w:iCs/>
        </w:rPr>
        <w:t xml:space="preserve">utcomes: Evidence from </w:t>
      </w:r>
      <w:r>
        <w:rPr>
          <w:i/>
          <w:iCs/>
        </w:rPr>
        <w:t>S</w:t>
      </w:r>
      <w:r>
        <w:rPr>
          <w:i/>
          <w:iCs/>
        </w:rPr>
        <w:t>chool</w:t>
      </w:r>
      <w:r>
        <w:rPr>
          <w:i/>
          <w:iCs/>
        </w:rPr>
        <w:t xml:space="preserve"> F</w:t>
      </w:r>
      <w:r>
        <w:rPr>
          <w:i/>
          <w:iCs/>
        </w:rPr>
        <w:t xml:space="preserve">inance </w:t>
      </w:r>
      <w:r>
        <w:rPr>
          <w:i/>
          <w:iCs/>
        </w:rPr>
        <w:t>R</w:t>
      </w:r>
      <w:r>
        <w:rPr>
          <w:i/>
          <w:iCs/>
        </w:rPr>
        <w:t xml:space="preserve">eforms </w:t>
      </w:r>
      <w:r>
        <w:rPr>
          <w:i w:val="false"/>
          <w:iCs w:val="false"/>
        </w:rPr>
        <w:t xml:space="preserve">[online]. Available from: </w:t>
      </w:r>
      <w:hyperlink r:id="rId5">
        <w:r>
          <w:rPr>
            <w:rStyle w:val="Hyperlink"/>
            <w:i w:val="false"/>
            <w:iCs w:val="false"/>
          </w:rPr>
          <w:t>https://www.nber.org/system/files/working_papers/w20847/w20847.pdf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dpi.com/2227-7102/11/1/10" TargetMode="External"/><Relationship Id="rId3" Type="http://schemas.openxmlformats.org/officeDocument/2006/relationships/hyperlink" Target="https://www.sciencedirect.com/science/article/pii/S0927537121001147" TargetMode="External"/><Relationship Id="rId4" Type="http://schemas.openxmlformats.org/officeDocument/2006/relationships/hyperlink" Target="https://www.gse.upenn.edu/pdf/rmi/TeacherTurnoverTeacherShortages-RMI-Fall-2001.pdf" TargetMode="External"/><Relationship Id="rId5" Type="http://schemas.openxmlformats.org/officeDocument/2006/relationships/hyperlink" Target="https://www.nber.org/system/files/working_papers/w20847/w20847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LibreOffice/24.2.7.2$Linux_X86_64 LibreOffice_project/420$Build-2</Application>
  <AppVersion>15.0000</AppVersion>
  <Pages>2</Pages>
  <Words>695</Words>
  <Characters>4036</Characters>
  <CharactersWithSpaces>4683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2025-05-08T15:10:21Z</dcterms:created>
  <dc:creator/>
  <dc:description/>
  <dc:language>en-IE</dc:language>
  <cp:lastModifiedBy/>
  <dcterms:modified xsi:type="dcterms:W3CDTF">2025-05-08T22:52:34Z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