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Cs/>
          <w:i w:val="false"/>
          <w:i w:val="false"/>
          <w:iCs w:val="false"/>
          <w:sz w:val="32"/>
          <w:szCs w:val="32"/>
          <w:u w:val="single"/>
        </w:rPr>
      </w:pPr>
      <w:r>
        <w:rPr>
          <w:b/>
          <w:bCs/>
          <w:i w:val="false"/>
          <w:iCs w:val="false"/>
          <w:sz w:val="32"/>
          <w:szCs w:val="32"/>
          <w:u w:val="single"/>
        </w:rPr>
        <w:t>Theoretical Framework</w:t>
      </w:r>
    </w:p>
    <w:p>
      <w:pPr>
        <w:pStyle w:val="Normal"/>
        <w:bidi w:val="0"/>
        <w:jc w:val="start"/>
        <w:rPr/>
      </w:pPr>
      <w:r>
        <w:rPr/>
        <w:t xml:space="preserve">I have decided to create an composite indicator to measure and compare education systems between countries. </w:t>
      </w:r>
    </w:p>
    <w:p>
      <w:pPr>
        <w:pStyle w:val="Normal"/>
        <w:bidi w:val="0"/>
        <w:jc w:val="start"/>
        <w:rPr/>
      </w:pPr>
      <w:r>
        <w:rPr/>
        <w:t>From my research, I found the following:</w:t>
      </w:r>
    </w:p>
    <w:p>
      <w:pPr>
        <w:pStyle w:val="Normal"/>
        <w:numPr>
          <w:ilvl w:val="0"/>
          <w:numId w:val="2"/>
        </w:numPr>
        <w:bidi w:val="0"/>
        <w:jc w:val="start"/>
        <w:rPr/>
      </w:pPr>
      <w:r>
        <w:rPr/>
        <w:t>Higher spending per student is associated with better outcomes for student later in life, especially for those from low-income families. This gives access to school resources the potential to reduce intergenerational-poverty. (Jackson et al. 2015)</w:t>
      </w:r>
    </w:p>
    <w:p>
      <w:pPr>
        <w:pStyle w:val="Normal"/>
        <w:numPr>
          <w:ilvl w:val="0"/>
          <w:numId w:val="2"/>
        </w:numPr>
        <w:bidi w:val="0"/>
        <w:jc w:val="start"/>
        <w:rPr/>
      </w:pPr>
      <w:r>
        <w:rPr/>
        <w:t xml:space="preserve">Building on this, it has been found that a lack of qualified teachers is a sign of staffing problems (Ingersoll 2001), </w:t>
      </w:r>
      <w:r>
        <w:rPr/>
        <w:t>which leads to poorer student performance.</w:t>
      </w:r>
    </w:p>
    <w:p>
      <w:pPr>
        <w:pStyle w:val="Normal"/>
        <w:numPr>
          <w:ilvl w:val="0"/>
          <w:numId w:val="2"/>
        </w:numPr>
        <w:bidi w:val="0"/>
        <w:jc w:val="start"/>
        <w:rPr/>
      </w:pPr>
      <w:r>
        <w:rPr/>
        <w:t>Exposure to high staff turnover leads to worse educational outcomes by students, although the effects of this disruption can be reduced through proper management. (Gibbons et al. 2021)</w:t>
      </w:r>
    </w:p>
    <w:p>
      <w:pPr>
        <w:pStyle w:val="Normal"/>
        <w:numPr>
          <w:ilvl w:val="0"/>
          <w:numId w:val="2"/>
        </w:numPr>
        <w:bidi w:val="0"/>
        <w:jc w:val="start"/>
        <w:rPr/>
      </w:pPr>
      <w:r>
        <w:rPr/>
        <w:t>Gender equality within education is one of the most consistent factors in improving student outcomes. (Campbell 2021)</w:t>
      </w:r>
    </w:p>
    <w:p>
      <w:pPr>
        <w:pStyle w:val="Normal"/>
        <w:numPr>
          <w:ilvl w:val="0"/>
          <w:numId w:val="0"/>
        </w:numPr>
        <w:bidi w:val="0"/>
        <w:ind w:hanging="0" w:start="720"/>
        <w:jc w:val="start"/>
        <w:rPr/>
      </w:pPr>
      <w:r>
        <w:rPr/>
      </w:r>
    </w:p>
    <w:p>
      <w:pPr>
        <w:pStyle w:val="Normal"/>
        <w:bidi w:val="0"/>
        <w:jc w:val="center"/>
        <w:rPr>
          <w:b/>
          <w:bCs/>
          <w:i w:val="false"/>
          <w:i w:val="false"/>
          <w:iCs w:val="false"/>
          <w:sz w:val="32"/>
          <w:szCs w:val="32"/>
          <w:u w:val="single"/>
        </w:rPr>
      </w:pPr>
      <w:r>
        <w:rPr>
          <w:b/>
          <w:bCs/>
          <w:i w:val="false"/>
          <w:iCs w:val="false"/>
          <w:sz w:val="32"/>
          <w:szCs w:val="32"/>
          <w:u w:val="single"/>
        </w:rPr>
        <w:t>Data Selection</w:t>
      </w:r>
    </w:p>
    <w:p>
      <w:pPr>
        <w:pStyle w:val="Normal"/>
        <w:bidi w:val="0"/>
        <w:jc w:val="start"/>
        <w:rPr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b w:val="false"/>
          <w:bCs w:val="false"/>
          <w:i w:val="false"/>
          <w:iCs w:val="false"/>
          <w:sz w:val="24"/>
          <w:szCs w:val="24"/>
          <w:u w:val="none"/>
        </w:rPr>
        <w:t>I used three datasets to construct this index:</w:t>
      </w:r>
    </w:p>
    <w:p>
      <w:pPr>
        <w:pStyle w:val="Normal"/>
        <w:numPr>
          <w:ilvl w:val="0"/>
          <w:numId w:val="3"/>
        </w:numPr>
        <w:bidi w:val="0"/>
        <w:jc w:val="start"/>
        <w:rPr/>
      </w:pPr>
      <w:r>
        <w:rPr>
          <w:b w:val="false"/>
          <w:bCs w:val="false"/>
          <w:i w:val="false"/>
          <w:iCs w:val="false"/>
          <w:sz w:val="24"/>
          <w:szCs w:val="24"/>
          <w:u w:val="none"/>
        </w:rPr>
        <w:t xml:space="preserve">A dataset from Kaggle, available </w:t>
      </w:r>
      <w:hyperlink w:anchor="_https%3A%2F%2Fwww.kaggle.com%2Fcode%2Fn">
        <w:r>
          <w:rPr>
            <w:rStyle w:val="Hyperlink"/>
            <w:b w:val="false"/>
            <w:bCs w:val="false"/>
            <w:i w:val="false"/>
            <w:iCs w:val="false"/>
            <w:sz w:val="24"/>
            <w:szCs w:val="24"/>
            <w:u w:val="none"/>
          </w:rPr>
          <w:t>here</w:t>
        </w:r>
      </w:hyperlink>
      <w:r>
        <w:rPr/>
        <w:t xml:space="preserve">, </w:t>
      </w:r>
      <w:r>
        <w:rPr/>
        <w:t>which contained data on enrollment rates, out-of-school rates, completion rates, maths and reading scores, and literacy rates. All of these categories were separated between male and female.</w:t>
      </w:r>
    </w:p>
    <w:p>
      <w:pPr>
        <w:pStyle w:val="Normal"/>
        <w:numPr>
          <w:ilvl w:val="0"/>
          <w:numId w:val="3"/>
        </w:numPr>
        <w:bidi w:val="0"/>
        <w:jc w:val="start"/>
        <w:rPr/>
      </w:pPr>
      <w:r>
        <w:rPr/>
        <w:t>Education data from the World Bank, which contained education spending as a percentange of each countries’ GDP, split between primary, secondary and tertiary education and the expected years in education for males, females and the average.</w:t>
      </w:r>
    </w:p>
    <w:p>
      <w:pPr>
        <w:pStyle w:val="Normal"/>
        <w:numPr>
          <w:ilvl w:val="0"/>
          <w:numId w:val="3"/>
        </w:numPr>
        <w:bidi w:val="0"/>
        <w:jc w:val="start"/>
        <w:rPr/>
      </w:pPr>
      <w:r>
        <w:rPr/>
        <w:t>Data from the UNESCO Institute of Statistics, which contained data on the number of compulsary years of education, the number of free years of education, the teacher:pupil ratio of primary and secondary education, the percentage of teachers who are qualified, and the attrition rates for teachers for pre-primary, primary and secondary education.</w:t>
      </w:r>
    </w:p>
    <w:p>
      <w:pPr>
        <w:pStyle w:val="Normal"/>
        <w:numPr>
          <w:ilvl w:val="0"/>
          <w:numId w:val="0"/>
        </w:numPr>
        <w:bidi w:val="0"/>
        <w:ind w:hanging="0" w:start="720"/>
        <w:jc w:val="start"/>
        <w:rPr/>
      </w:pPr>
      <w:r>
        <w:rPr/>
      </w:r>
    </w:p>
    <w:p>
      <w:pPr>
        <w:pStyle w:val="Normal"/>
        <w:bidi w:val="0"/>
        <w:jc w:val="center"/>
        <w:rPr>
          <w:b/>
          <w:bCs/>
          <w:i w:val="false"/>
          <w:i w:val="false"/>
          <w:iCs w:val="false"/>
          <w:sz w:val="32"/>
          <w:szCs w:val="32"/>
          <w:u w:val="single"/>
        </w:rPr>
      </w:pPr>
      <w:r>
        <w:rPr>
          <w:b/>
          <w:bCs/>
          <w:i w:val="false"/>
          <w:iCs w:val="false"/>
          <w:sz w:val="32"/>
          <w:szCs w:val="32"/>
          <w:u w:val="single"/>
        </w:rPr>
        <w:t>Imputation of Missing Data</w:t>
      </w:r>
    </w:p>
    <w:p>
      <w:pPr>
        <w:pStyle w:val="Normal"/>
        <w:bidi w:val="0"/>
        <w:jc w:val="start"/>
        <w:rPr/>
      </w:pPr>
      <w:r>
        <w:rPr/>
        <w:t>Every variable I selected, with the exception of compulsary schooling had at least one missing value. I addressed them as follows: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For all variables gathered from the UNESCO Institute of Statistics, </w:t>
      </w:r>
      <w:r>
        <w:rPr/>
        <w:t>the World Bank and the Kaggle dataset</w:t>
      </w:r>
      <w:r>
        <w:rPr/>
        <w:t xml:space="preserve">, </w:t>
      </w:r>
      <w:r>
        <w:rPr/>
        <w:t>if a country had data for a particular variable for any year from 2011 to 2020, but not for 2021, I took an average of the years available instead, as while it would likely not be completely accurate, it would serve as good approximation.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For the variables related to free schooling, I assumed that </w:t>
      </w:r>
      <w:r>
        <w:rPr/>
        <w:t>no data</w:t>
      </w:r>
      <w:r>
        <w:rPr/>
        <w:t xml:space="preserve"> meant that the respective country had none. I felt this was a reasonable solution as less than 25 countries were missing this information and mostly occured with countries with no formal schooling.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I decided to drop the variables related to teacher attrition, due to a lack of data. Less than 1/3 of courtries had this data available </w:t>
      </w:r>
      <w:r>
        <w:rPr/>
        <w:t>for any of the previos 10 years.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For the ratio between qualified teachers to pupils and the percentage of current teachers who are currently qualified, I replaced missing values with the global average.</w:t>
      </w:r>
    </w:p>
    <w:p>
      <w:pPr>
        <w:pStyle w:val="Normal"/>
        <w:bidi w:val="0"/>
        <w:jc w:val="center"/>
        <w:rPr>
          <w:b/>
          <w:bCs/>
          <w:i w:val="false"/>
          <w:i w:val="false"/>
          <w:iCs w:val="false"/>
          <w:sz w:val="32"/>
          <w:szCs w:val="32"/>
          <w:u w:val="single"/>
        </w:rPr>
      </w:pPr>
      <w:r>
        <w:rPr>
          <w:b/>
          <w:bCs/>
          <w:i w:val="false"/>
          <w:iCs w:val="false"/>
          <w:sz w:val="32"/>
          <w:szCs w:val="32"/>
          <w:u w:val="single"/>
        </w:rPr>
      </w:r>
    </w:p>
    <w:p>
      <w:pPr>
        <w:pStyle w:val="Normal"/>
        <w:bidi w:val="0"/>
        <w:jc w:val="center"/>
        <w:rPr>
          <w:b/>
          <w:bCs/>
          <w:i w:val="false"/>
          <w:i w:val="false"/>
          <w:iCs w:val="false"/>
          <w:sz w:val="32"/>
          <w:szCs w:val="32"/>
          <w:u w:val="single"/>
        </w:rPr>
      </w:pPr>
      <w:r>
        <w:rPr>
          <w:b/>
          <w:bCs/>
          <w:i w:val="false"/>
          <w:iCs w:val="false"/>
          <w:sz w:val="32"/>
          <w:szCs w:val="32"/>
          <w:u w:val="single"/>
        </w:rPr>
        <w:t>Multivariate Analysis</w:t>
      </w:r>
    </w:p>
    <w:p>
      <w:pPr>
        <w:pStyle w:val="Normal"/>
        <w:bidi w:val="0"/>
        <w:jc w:val="start"/>
        <w:rPr/>
      </w:pPr>
      <w:r>
        <w:rPr/>
        <w:t>After carrying out multivariate analysis, some variables were very strongly corrolated with each other.  To address this, the following changes were made:</w:t>
      </w:r>
    </w:p>
    <w:p>
      <w:pPr>
        <w:pStyle w:val="Normal"/>
        <w:numPr>
          <w:ilvl w:val="0"/>
          <w:numId w:val="4"/>
        </w:numPr>
        <w:bidi w:val="0"/>
        <w:jc w:val="start"/>
        <w:rPr/>
      </w:pPr>
      <w:r>
        <w:rPr/>
        <w:t xml:space="preserve">Principle Component Analysis was used to combine the six completion rate variables. This resulted in one component </w:t>
      </w:r>
      <w:r>
        <w:rPr/>
        <w:t>that explained 95% of the variance.</w:t>
      </w:r>
    </w:p>
    <w:p>
      <w:pPr>
        <w:pStyle w:val="Normal"/>
        <w:numPr>
          <w:ilvl w:val="0"/>
          <w:numId w:val="4"/>
        </w:numPr>
        <w:bidi w:val="0"/>
        <w:jc w:val="start"/>
        <w:rPr/>
      </w:pPr>
      <w:r>
        <w:rPr/>
        <w:t xml:space="preserve">Principle Component Analysis was used to combine the </w:t>
      </w:r>
      <w:r>
        <w:rPr/>
        <w:t>out-of-school rate variables. This resulted in three components that explained a combined 95.5% of the variance.</w:t>
      </w:r>
    </w:p>
    <w:p>
      <w:pPr>
        <w:pStyle w:val="Normal"/>
        <w:numPr>
          <w:ilvl w:val="0"/>
          <w:numId w:val="4"/>
        </w:numPr>
        <w:bidi w:val="0"/>
        <w:jc w:val="start"/>
        <w:rPr/>
      </w:pPr>
      <w:r>
        <w:rPr/>
        <w:t>The expected years of education for males and females were changed into one variable that represented the difference between the two.</w:t>
      </w:r>
    </w:p>
    <w:p>
      <w:pPr>
        <w:pStyle w:val="Normal"/>
        <w:numPr>
          <w:ilvl w:val="0"/>
          <w:numId w:val="4"/>
        </w:numPr>
        <w:bidi w:val="0"/>
        <w:jc w:val="start"/>
        <w:rPr/>
      </w:pPr>
      <w:r>
        <w:rPr/>
        <w:t>This was repeated for the literacy rate variables.</w:t>
      </w:r>
    </w:p>
    <w:p>
      <w:pPr>
        <w:pStyle w:val="Normal"/>
        <w:numPr>
          <w:ilvl w:val="0"/>
          <w:numId w:val="4"/>
        </w:numPr>
        <w:bidi w:val="0"/>
        <w:jc w:val="start"/>
        <w:rPr/>
      </w:pPr>
      <w:r>
        <w:rPr/>
        <w:t>The average of the math and reading scores was used instead of the two being separate.</w:t>
      </w:r>
    </w:p>
    <w:p>
      <w:pPr>
        <w:pStyle w:val="Normal"/>
        <w:numPr>
          <w:ilvl w:val="0"/>
          <w:numId w:val="0"/>
        </w:numPr>
        <w:bidi w:val="0"/>
        <w:ind w:hanging="0" w:start="720"/>
        <w:jc w:val="start"/>
        <w:rPr/>
      </w:pPr>
      <w:r>
        <w:rPr/>
      </w:r>
    </w:p>
    <w:p>
      <w:pPr>
        <w:pStyle w:val="Normal"/>
        <w:bidi w:val="0"/>
        <w:jc w:val="center"/>
        <w:rPr>
          <w:b/>
          <w:bCs/>
          <w:i w:val="false"/>
          <w:i w:val="false"/>
          <w:iCs w:val="false"/>
          <w:sz w:val="32"/>
          <w:szCs w:val="32"/>
          <w:u w:val="single"/>
        </w:rPr>
      </w:pPr>
      <w:r>
        <w:rPr>
          <w:b/>
          <w:bCs/>
          <w:i w:val="false"/>
          <w:iCs w:val="false"/>
          <w:sz w:val="32"/>
          <w:szCs w:val="32"/>
          <w:u w:val="single"/>
        </w:rPr>
        <w:t>Normalisation</w:t>
      </w:r>
    </w:p>
    <w:p>
      <w:pPr>
        <w:pStyle w:val="Normal"/>
        <w:bidi w:val="0"/>
        <w:jc w:val="start"/>
        <w:rPr/>
      </w:pPr>
      <w:r>
        <w:rPr>
          <w:b w:val="false"/>
          <w:bCs w:val="false"/>
          <w:i w:val="false"/>
          <w:iCs w:val="false"/>
          <w:sz w:val="24"/>
          <w:szCs w:val="24"/>
          <w:u w:val="none"/>
        </w:rPr>
        <w:t>A</w:t>
      </w:r>
      <w:r>
        <w:rPr>
          <w:b w:val="false"/>
          <w:bCs w:val="false"/>
          <w:i w:val="false"/>
          <w:iCs w:val="false"/>
          <w:sz w:val="24"/>
          <w:szCs w:val="24"/>
          <w:u w:val="none"/>
        </w:rPr>
        <w:t>ll variables were centred and scaled to be between -1 and 1.</w:t>
      </w:r>
    </w:p>
    <w:p>
      <w:pPr>
        <w:pStyle w:val="Normal"/>
        <w:bidi w:val="0"/>
        <w:jc w:val="center"/>
        <w:rPr>
          <w:b/>
          <w:bCs/>
          <w:i w:val="false"/>
          <w:i w:val="false"/>
          <w:iCs w:val="false"/>
          <w:sz w:val="32"/>
          <w:szCs w:val="32"/>
          <w:u w:val="single"/>
        </w:rPr>
      </w:pPr>
      <w:r>
        <w:rPr>
          <w:b w:val="false"/>
          <w:bCs w:val="false"/>
          <w:i w:val="false"/>
          <w:iCs w:val="false"/>
          <w:sz w:val="24"/>
          <w:szCs w:val="24"/>
          <w:u w:val="none"/>
        </w:rPr>
        <w:t xml:space="preserve"> </w:t>
      </w:r>
      <w:r>
        <w:rPr>
          <w:b/>
          <w:bCs/>
          <w:i w:val="false"/>
          <w:iCs w:val="false"/>
          <w:sz w:val="32"/>
          <w:szCs w:val="32"/>
          <w:u w:val="single"/>
        </w:rPr>
        <w:br/>
        <w:t>Weighting and Aggregation</w:t>
      </w:r>
    </w:p>
    <w:p>
      <w:pPr>
        <w:pStyle w:val="BodyText"/>
        <w:bidi w:val="0"/>
        <w:rPr/>
      </w:pPr>
      <w:r>
        <w:rPr/>
        <w:t>I decided to give each variable equal weighting as I could no find any research-backed way to rank the importance of one variable over another.</w:t>
      </w:r>
    </w:p>
    <w:p>
      <w:pPr>
        <w:pStyle w:val="BodyText"/>
        <w:bidi w:val="0"/>
        <w:spacing w:before="0" w:after="0"/>
        <w:rPr/>
      </w:pPr>
      <w:r>
        <w:rPr/>
        <w:t>For aggregation, I divided the variables between five sub-indicators as follows:</w:t>
      </w:r>
    </w:p>
    <w:p>
      <w:pPr>
        <w:pStyle w:val="BodyText"/>
        <w:numPr>
          <w:ilvl w:val="0"/>
          <w:numId w:val="5"/>
        </w:numPr>
        <w:bidi w:val="0"/>
        <w:spacing w:before="0" w:after="0"/>
        <w:rPr/>
      </w:pPr>
      <w:r>
        <w:rPr/>
        <w:t>Expenditure</w:t>
      </w:r>
    </w:p>
    <w:p>
      <w:pPr>
        <w:pStyle w:val="BodyText"/>
        <w:numPr>
          <w:ilvl w:val="1"/>
          <w:numId w:val="5"/>
        </w:numPr>
        <w:bidi w:val="0"/>
        <w:spacing w:before="0" w:after="0"/>
        <w:rPr/>
      </w:pPr>
      <w:r>
        <w:rPr/>
        <w:t xml:space="preserve">Government </w:t>
      </w:r>
      <w:r>
        <w:rPr/>
        <w:t>expenditure on primary education as a % of GDP</w:t>
      </w:r>
    </w:p>
    <w:p>
      <w:pPr>
        <w:pStyle w:val="BodyText"/>
        <w:numPr>
          <w:ilvl w:val="1"/>
          <w:numId w:val="5"/>
        </w:numPr>
        <w:bidi w:val="0"/>
        <w:spacing w:before="0" w:after="0"/>
        <w:rPr/>
      </w:pPr>
      <w:r>
        <w:rPr/>
        <w:t xml:space="preserve">Government </w:t>
      </w:r>
      <w:r>
        <w:rPr/>
        <w:t>expenditure on secondary education as a % of GDP</w:t>
      </w:r>
    </w:p>
    <w:p>
      <w:pPr>
        <w:pStyle w:val="BodyText"/>
        <w:numPr>
          <w:ilvl w:val="1"/>
          <w:numId w:val="5"/>
        </w:numPr>
        <w:bidi w:val="0"/>
        <w:spacing w:before="0" w:after="0"/>
        <w:rPr/>
      </w:pPr>
      <w:r>
        <w:rPr/>
        <w:t xml:space="preserve">Government </w:t>
      </w:r>
      <w:r>
        <w:rPr/>
        <w:t>expenditure on tertiary education as a % of GDP</w:t>
      </w:r>
    </w:p>
    <w:p>
      <w:pPr>
        <w:pStyle w:val="Normal"/>
        <w:numPr>
          <w:ilvl w:val="1"/>
          <w:numId w:val="5"/>
        </w:numPr>
        <w:bidi w:val="0"/>
        <w:rPr/>
      </w:pPr>
      <w:r>
        <w:rPr/>
        <w:t>Number of years of compulsory primary and secondary education guaranteed in legal frameworks</w:t>
      </w:r>
    </w:p>
    <w:p>
      <w:pPr>
        <w:pStyle w:val="Normal"/>
        <w:numPr>
          <w:ilvl w:val="1"/>
          <w:numId w:val="5"/>
        </w:numPr>
        <w:bidi w:val="0"/>
        <w:rPr/>
      </w:pPr>
      <w:r>
        <w:rPr/>
        <w:t>Number of years of free pre-primary education guaranteed in legal frameworks</w:t>
      </w:r>
    </w:p>
    <w:p>
      <w:pPr>
        <w:pStyle w:val="Normal"/>
        <w:numPr>
          <w:ilvl w:val="1"/>
          <w:numId w:val="5"/>
        </w:numPr>
        <w:bidi w:val="0"/>
        <w:rPr/>
      </w:pPr>
      <w:r>
        <w:rPr/>
        <w:t>Number of years of free primary and secondary education guaranteed in legal frameworks</w:t>
      </w:r>
    </w:p>
    <w:p>
      <w:pPr>
        <w:pStyle w:val="Normal"/>
        <w:numPr>
          <w:ilvl w:val="0"/>
          <w:numId w:val="5"/>
        </w:numPr>
        <w:bidi w:val="0"/>
        <w:rPr/>
      </w:pPr>
      <w:r>
        <w:rPr/>
        <w:t>Enrollment and Completion</w:t>
      </w:r>
    </w:p>
    <w:p>
      <w:pPr>
        <w:pStyle w:val="Normal"/>
        <w:numPr>
          <w:ilvl w:val="1"/>
          <w:numId w:val="5"/>
        </w:numPr>
        <w:bidi w:val="0"/>
        <w:rPr/>
      </w:pPr>
      <w:r>
        <w:rPr/>
        <w:t>Expected Years of School</w:t>
      </w:r>
    </w:p>
    <w:p>
      <w:pPr>
        <w:pStyle w:val="Normal"/>
        <w:numPr>
          <w:ilvl w:val="1"/>
          <w:numId w:val="5"/>
        </w:numPr>
        <w:bidi w:val="0"/>
        <w:rPr/>
      </w:pPr>
      <w:r>
        <w:rPr/>
        <w:t>Gross_Primary_Education_Enrollment</w:t>
      </w:r>
    </w:p>
    <w:p>
      <w:pPr>
        <w:pStyle w:val="Normal"/>
        <w:numPr>
          <w:ilvl w:val="1"/>
          <w:numId w:val="5"/>
        </w:numPr>
        <w:bidi w:val="0"/>
        <w:rPr/>
      </w:pPr>
      <w:r>
        <w:rPr/>
        <w:t>Gross_Tertiary_Education_Enrollment"</w:t>
      </w:r>
    </w:p>
    <w:p>
      <w:pPr>
        <w:pStyle w:val="Normal"/>
        <w:numPr>
          <w:ilvl w:val="0"/>
          <w:numId w:val="5"/>
        </w:numPr>
        <w:bidi w:val="0"/>
        <w:rPr/>
      </w:pPr>
      <w:r>
        <w:rPr/>
        <w:t>Te</w:t>
      </w:r>
      <w:r>
        <w:rPr/>
        <w:t xml:space="preserve">acher </w:t>
      </w:r>
      <w:r>
        <w:rPr/>
        <w:t>E</w:t>
      </w:r>
      <w:r>
        <w:rPr/>
        <w:t>xpertise</w:t>
      </w:r>
    </w:p>
    <w:p>
      <w:pPr>
        <w:pStyle w:val="Normal"/>
        <w:numPr>
          <w:ilvl w:val="1"/>
          <w:numId w:val="5"/>
        </w:numPr>
        <w:bidi w:val="0"/>
        <w:rPr/>
      </w:pPr>
      <w:r>
        <w:rPr/>
        <w:t>Pupil-qualified teacher ratio in pre-primary education</w:t>
      </w:r>
    </w:p>
    <w:p>
      <w:pPr>
        <w:pStyle w:val="Normal"/>
        <w:numPr>
          <w:ilvl w:val="1"/>
          <w:numId w:val="5"/>
        </w:numPr>
        <w:bidi w:val="0"/>
        <w:rPr/>
      </w:pPr>
      <w:r>
        <w:rPr/>
        <w:t>Pupil-qualified teacher ratio in primary education</w:t>
      </w:r>
    </w:p>
    <w:p>
      <w:pPr>
        <w:pStyle w:val="Normal"/>
        <w:numPr>
          <w:ilvl w:val="1"/>
          <w:numId w:val="5"/>
        </w:numPr>
        <w:bidi w:val="0"/>
        <w:rPr/>
      </w:pPr>
      <w:r>
        <w:rPr/>
        <w:t>Pupil-qualified teacher ratio in secondary education</w:t>
      </w:r>
    </w:p>
    <w:p>
      <w:pPr>
        <w:pStyle w:val="Normal"/>
        <w:numPr>
          <w:ilvl w:val="1"/>
          <w:numId w:val="5"/>
        </w:numPr>
        <w:bidi w:val="0"/>
        <w:rPr/>
      </w:pPr>
      <w:r>
        <w:rPr/>
        <w:t>Percentage of qualified teachers in pre-primary education, both sexes (%)</w:t>
      </w:r>
    </w:p>
    <w:p>
      <w:pPr>
        <w:pStyle w:val="Normal"/>
        <w:numPr>
          <w:ilvl w:val="1"/>
          <w:numId w:val="5"/>
        </w:numPr>
        <w:bidi w:val="0"/>
        <w:rPr/>
      </w:pPr>
      <w:r>
        <w:rPr/>
        <w:t>Percentage of qualified teachers in primary education, both sexes (%)</w:t>
      </w:r>
    </w:p>
    <w:p>
      <w:pPr>
        <w:pStyle w:val="Normal"/>
        <w:numPr>
          <w:ilvl w:val="1"/>
          <w:numId w:val="5"/>
        </w:numPr>
        <w:bidi w:val="0"/>
        <w:rPr/>
      </w:pPr>
      <w:r>
        <w:rPr/>
        <w:t>Percentage of qualified teachers in secondary education, both sexes (%)</w:t>
      </w:r>
    </w:p>
    <w:p>
      <w:pPr>
        <w:pStyle w:val="Normal"/>
        <w:numPr>
          <w:ilvl w:val="0"/>
          <w:numId w:val="5"/>
        </w:numPr>
        <w:bidi w:val="0"/>
        <w:rPr/>
      </w:pPr>
      <w:r>
        <w:rPr/>
        <w:t>Student Proficiency</w:t>
      </w:r>
    </w:p>
    <w:p>
      <w:pPr>
        <w:pStyle w:val="Normal"/>
        <w:numPr>
          <w:ilvl w:val="1"/>
          <w:numId w:val="5"/>
        </w:numPr>
        <w:bidi w:val="0"/>
        <w:rPr/>
      </w:pPr>
      <w:r>
        <w:rPr/>
        <w:t>Grade_2_3_Proficiency'</w:t>
      </w:r>
    </w:p>
    <w:p>
      <w:pPr>
        <w:pStyle w:val="Normal"/>
        <w:numPr>
          <w:ilvl w:val="1"/>
          <w:numId w:val="5"/>
        </w:numPr>
        <w:bidi w:val="0"/>
        <w:rPr/>
      </w:pPr>
      <w:r>
        <w:rPr/>
        <w:t>Primary_End_Proficiency</w:t>
      </w:r>
    </w:p>
    <w:p>
      <w:pPr>
        <w:pStyle w:val="Normal"/>
        <w:numPr>
          <w:ilvl w:val="1"/>
          <w:numId w:val="5"/>
        </w:numPr>
        <w:bidi w:val="0"/>
        <w:rPr/>
      </w:pPr>
      <w:r>
        <w:rPr/>
        <w:t>Lower_Secondary_End_Proficiency</w:t>
      </w:r>
    </w:p>
    <w:p>
      <w:pPr>
        <w:pStyle w:val="Normal"/>
        <w:numPr>
          <w:ilvl w:val="1"/>
          <w:numId w:val="5"/>
        </w:numPr>
        <w:bidi w:val="0"/>
        <w:rPr/>
      </w:pPr>
      <w:r>
        <w:rPr/>
        <w:t>The three out-of-school-rate components</w:t>
      </w:r>
    </w:p>
    <w:p>
      <w:pPr>
        <w:pStyle w:val="Normal"/>
        <w:numPr>
          <w:ilvl w:val="0"/>
          <w:numId w:val="5"/>
        </w:numPr>
        <w:bidi w:val="0"/>
        <w:rPr/>
      </w:pPr>
      <w:r>
        <w:rPr/>
        <w:t>Gender Equality</w:t>
      </w:r>
    </w:p>
    <w:p>
      <w:pPr>
        <w:pStyle w:val="Normal"/>
        <w:numPr>
          <w:ilvl w:val="1"/>
          <w:numId w:val="5"/>
        </w:numPr>
        <w:bidi w:val="0"/>
        <w:rPr/>
      </w:pPr>
      <w:r>
        <w:rPr/>
        <w:t>Expected Years in Education Delta</w:t>
      </w:r>
    </w:p>
    <w:p>
      <w:pPr>
        <w:pStyle w:val="Normal"/>
        <w:numPr>
          <w:ilvl w:val="1"/>
          <w:numId w:val="5"/>
        </w:numPr>
        <w:bidi w:val="0"/>
        <w:rPr/>
      </w:pPr>
      <w:r>
        <w:rPr/>
        <w:t>Literacy Rate Delta</w:t>
      </w:r>
    </w:p>
    <w:p>
      <w:pPr>
        <w:pStyle w:val="Normal"/>
        <w:bidi w:val="0"/>
        <w:jc w:val="start"/>
        <w:rPr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center"/>
        <w:rPr>
          <w:b/>
          <w:bCs/>
          <w:i w:val="false"/>
          <w:i w:val="false"/>
          <w:iCs w:val="false"/>
          <w:sz w:val="24"/>
          <w:szCs w:val="24"/>
          <w:u w:val="single"/>
        </w:rPr>
      </w:pPr>
      <w:r>
        <w:rPr>
          <w:b/>
          <w:bCs/>
          <w:i w:val="false"/>
          <w:iCs w:val="false"/>
          <w:sz w:val="24"/>
          <w:szCs w:val="24"/>
          <w:u w:val="single"/>
        </w:rPr>
      </w:r>
    </w:p>
    <w:p>
      <w:pPr>
        <w:pStyle w:val="Normal"/>
        <w:bidi w:val="0"/>
        <w:jc w:val="center"/>
        <w:rPr>
          <w:b/>
          <w:bCs/>
          <w:i w:val="false"/>
          <w:i w:val="false"/>
          <w:iCs w:val="false"/>
          <w:sz w:val="32"/>
          <w:szCs w:val="32"/>
          <w:u w:val="single"/>
        </w:rPr>
      </w:pPr>
      <w:r>
        <w:rPr>
          <w:b/>
          <w:bCs/>
          <w:i w:val="false"/>
          <w:iCs w:val="false"/>
          <w:sz w:val="32"/>
          <w:szCs w:val="32"/>
          <w:u w:val="single"/>
        </w:rPr>
        <w:t>Links to other Indicators</w:t>
      </w:r>
    </w:p>
    <w:p>
      <w:pPr>
        <w:pStyle w:val="Normal"/>
        <w:bidi w:val="0"/>
        <w:jc w:val="center"/>
        <w:rPr>
          <w:b/>
          <w:bCs/>
          <w:i w:val="false"/>
          <w:i w:val="false"/>
          <w:iCs w:val="false"/>
          <w:sz w:val="32"/>
          <w:szCs w:val="32"/>
          <w:u w:val="single"/>
        </w:rPr>
      </w:pPr>
      <w:r>
        <w:rPr>
          <w:b/>
          <w:bCs/>
          <w:i w:val="false"/>
          <w:iCs w:val="false"/>
          <w:sz w:val="32"/>
          <w:szCs w:val="32"/>
          <w:u w:val="single"/>
        </w:rPr>
      </w:r>
    </w:p>
    <w:p>
      <w:pPr>
        <w:pStyle w:val="Normal"/>
        <w:bidi w:val="0"/>
        <w:jc w:val="center"/>
        <w:rPr>
          <w:b/>
          <w:bCs/>
          <w:i w:val="false"/>
          <w:i w:val="false"/>
          <w:iCs w:val="false"/>
          <w:sz w:val="32"/>
          <w:szCs w:val="32"/>
          <w:u w:val="single"/>
        </w:rPr>
      </w:pPr>
      <w:r>
        <w:rPr>
          <w:b/>
          <w:bCs/>
          <w:i w:val="false"/>
          <w:iCs w:val="false"/>
          <w:sz w:val="32"/>
          <w:szCs w:val="32"/>
          <w:u w:val="single"/>
        </w:rPr>
        <w:t>Visualisation of Data</w:t>
      </w:r>
    </w:p>
    <w:p>
      <w:pPr>
        <w:pStyle w:val="Normal"/>
        <w:bidi w:val="0"/>
        <w:jc w:val="center"/>
        <w:rPr>
          <w:b/>
          <w:bCs/>
          <w:i w:val="false"/>
          <w:i w:val="false"/>
          <w:iCs w:val="false"/>
          <w:sz w:val="32"/>
          <w:szCs w:val="32"/>
          <w:u w:val="single"/>
        </w:rPr>
      </w:pPr>
      <w:r>
        <w:rPr/>
      </w:r>
    </w:p>
    <w:p>
      <w:pPr>
        <w:pStyle w:val="Normal"/>
        <w:bidi w:val="0"/>
        <w:jc w:val="center"/>
        <w:rPr>
          <w:b/>
          <w:bCs/>
          <w:i w:val="false"/>
          <w:i w:val="false"/>
          <w:iCs w:val="false"/>
          <w:sz w:val="32"/>
          <w:szCs w:val="32"/>
          <w:u w:val="single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7345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-105410</wp:posOffset>
            </wp:positionH>
            <wp:positionV relativeFrom="paragraph">
              <wp:posOffset>3376930</wp:posOffset>
            </wp:positionV>
            <wp:extent cx="5748020" cy="326199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02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Cs/>
          <w:i w:val="false"/>
          <w:i w:val="false"/>
          <w:iCs w:val="false"/>
          <w:sz w:val="32"/>
          <w:szCs w:val="32"/>
          <w:u w:val="single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-41275</wp:posOffset>
            </wp:positionH>
            <wp:positionV relativeFrom="paragraph">
              <wp:posOffset>5602605</wp:posOffset>
            </wp:positionV>
            <wp:extent cx="6120130" cy="347345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Cs/>
          <w:i w:val="false"/>
          <w:i w:val="false"/>
          <w:iCs w:val="false"/>
          <w:sz w:val="32"/>
          <w:szCs w:val="32"/>
          <w:u w:val="single"/>
        </w:rPr>
      </w:pPr>
      <w:r>
        <w:rPr/>
      </w:r>
    </w:p>
    <w:p>
      <w:pPr>
        <w:pStyle w:val="Normal"/>
        <w:bidi w:val="0"/>
        <w:jc w:val="center"/>
        <w:rPr>
          <w:b/>
          <w:bCs/>
          <w:i w:val="false"/>
          <w:i w:val="false"/>
          <w:iCs w:val="false"/>
          <w:sz w:val="32"/>
          <w:szCs w:val="32"/>
          <w:u w:val="single"/>
        </w:rPr>
      </w:pPr>
      <w:r>
        <w:rPr/>
      </w:r>
    </w:p>
    <w:p>
      <w:pPr>
        <w:pStyle w:val="Normal"/>
        <w:bidi w:val="0"/>
        <w:jc w:val="center"/>
        <w:rPr>
          <w:b/>
          <w:bCs/>
          <w:i w:val="false"/>
          <w:i w:val="false"/>
          <w:iCs w:val="false"/>
          <w:sz w:val="32"/>
          <w:szCs w:val="32"/>
          <w:u w:val="single"/>
        </w:rPr>
      </w:pPr>
      <w:r>
        <w:rPr/>
      </w:r>
    </w:p>
    <w:p>
      <w:pPr>
        <w:pStyle w:val="Normal"/>
        <w:bidi w:val="0"/>
        <w:jc w:val="center"/>
        <w:rPr>
          <w:b/>
          <w:bCs/>
          <w:i w:val="false"/>
          <w:i w:val="false"/>
          <w:iCs w:val="false"/>
          <w:sz w:val="32"/>
          <w:szCs w:val="32"/>
          <w:u w:val="single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7345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-95250</wp:posOffset>
            </wp:positionH>
            <wp:positionV relativeFrom="paragraph">
              <wp:posOffset>3472815</wp:posOffset>
            </wp:positionV>
            <wp:extent cx="6120130" cy="347345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-27305</wp:posOffset>
            </wp:positionH>
            <wp:positionV relativeFrom="paragraph">
              <wp:posOffset>10765155</wp:posOffset>
            </wp:positionV>
            <wp:extent cx="6120130" cy="347345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 w:val="false"/>
          <w:iCs w:val="false"/>
          <w:sz w:val="32"/>
          <w:szCs w:val="32"/>
          <w:u w:val="single"/>
        </w:rPr>
        <w:t>References</w:t>
      </w:r>
    </w:p>
    <w:p>
      <w:pPr>
        <w:pStyle w:val="Normal"/>
        <w:bidi w:val="0"/>
        <w:jc w:val="start"/>
        <w:rPr/>
      </w:pPr>
      <w:r>
        <w:rPr>
          <w:i w:val="false"/>
          <w:iCs w:val="false"/>
          <w:u w:val="none"/>
        </w:rPr>
        <w:t xml:space="preserve">Campbell, J.A., (2021). </w:t>
      </w:r>
      <w:r>
        <w:rPr/>
        <w:t xml:space="preserve">The Moderating Effect of Gender Equality and Other Factors on PISA and Education Policy. </w:t>
      </w:r>
      <w:r>
        <w:rPr>
          <w:rStyle w:val="Emphasis"/>
        </w:rPr>
        <w:t xml:space="preserve">Education Sciences </w:t>
      </w:r>
      <w:r>
        <w:rPr>
          <w:rStyle w:val="Emphasis"/>
          <w:i w:val="false"/>
          <w:iCs w:val="false"/>
        </w:rPr>
        <w:t xml:space="preserve">[online], 11(1). Available from: </w:t>
      </w:r>
      <w:hyperlink r:id="rId8">
        <w:r>
          <w:rPr>
            <w:rStyle w:val="Hyperlink"/>
            <w:i w:val="false"/>
            <w:iCs w:val="false"/>
          </w:rPr>
          <w:t>https://www.mdpi.com/2227-7102/11/1/10</w:t>
        </w:r>
      </w:hyperlink>
      <w:r>
        <w:rPr>
          <w:rStyle w:val="Emphasis"/>
          <w:i w:val="false"/>
          <w:iCs w:val="false"/>
        </w:rPr>
        <w:t xml:space="preserve"> [accessed 8</w:t>
      </w:r>
      <w:r>
        <w:rPr>
          <w:rStyle w:val="Emphasis"/>
          <w:i w:val="false"/>
          <w:iCs w:val="false"/>
          <w:vertAlign w:val="superscript"/>
        </w:rPr>
        <w:t>th</w:t>
      </w:r>
      <w:r>
        <w:rPr>
          <w:rStyle w:val="Emphasis"/>
          <w:i w:val="false"/>
          <w:iCs w:val="false"/>
        </w:rPr>
        <w:t xml:space="preserve"> May 2025].</w:t>
      </w:r>
    </w:p>
    <w:p>
      <w:pPr>
        <w:pStyle w:val="Normal"/>
        <w:bidi w:val="0"/>
        <w:jc w:val="start"/>
        <w:rPr>
          <w:rStyle w:val="Emphasis"/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Gibbons, S., Scrutinio, V., Telhaj, S. (2021). </w:t>
      </w:r>
      <w:r>
        <w:rPr>
          <w:i/>
          <w:iCs/>
        </w:rPr>
        <w:t xml:space="preserve">Teacher turnover: Effects, mechanisms and organisational responses </w:t>
      </w:r>
      <w:r>
        <w:rPr>
          <w:i w:val="false"/>
          <w:iCs w:val="false"/>
        </w:rPr>
        <w:t xml:space="preserve">[online]. Available from: </w:t>
      </w:r>
      <w:hyperlink r:id="rId9">
        <w:r>
          <w:rPr>
            <w:rStyle w:val="Hyperlink"/>
            <w:i w:val="false"/>
            <w:iCs w:val="false"/>
          </w:rPr>
          <w:t>https://www.sciencedirect.com/science/article/pii/S0927537121001147</w:t>
        </w:r>
      </w:hyperlink>
      <w:r>
        <w:rPr>
          <w:i w:val="false"/>
          <w:iCs w:val="false"/>
        </w:rPr>
        <w:t xml:space="preserve"> [accessed 8</w:t>
      </w:r>
      <w:r>
        <w:rPr>
          <w:i w:val="false"/>
          <w:iCs w:val="false"/>
          <w:vertAlign w:val="superscript"/>
        </w:rPr>
        <w:t>th</w:t>
      </w:r>
      <w:r>
        <w:rPr>
          <w:i w:val="false"/>
          <w:iCs w:val="false"/>
        </w:rPr>
        <w:t xml:space="preserve"> May 2025].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Ingeroll, R.M. (2001). </w:t>
      </w:r>
      <w:r>
        <w:rPr>
          <w:i/>
          <w:iCs/>
        </w:rPr>
        <w:t xml:space="preserve">Teacher Turnover and Teacher Shortages: An Organizational Analysis </w:t>
      </w:r>
      <w:r>
        <w:rPr>
          <w:i w:val="false"/>
          <w:iCs w:val="false"/>
        </w:rPr>
        <w:t xml:space="preserve">[online]. Available from: </w:t>
      </w:r>
      <w:hyperlink r:id="rId10">
        <w:r>
          <w:rPr>
            <w:rStyle w:val="Hyperlink"/>
            <w:i w:val="false"/>
            <w:iCs w:val="false"/>
          </w:rPr>
          <w:t>https://www.gse.upenn.edu/pdf/rmi/TeacherTurnoverTeacherShortages-RMI-Fall-2001.pdf</w:t>
        </w:r>
      </w:hyperlink>
      <w:r>
        <w:rPr>
          <w:i w:val="false"/>
          <w:iCs w:val="false"/>
        </w:rPr>
        <w:t xml:space="preserve"> [accessed 8</w:t>
      </w:r>
      <w:r>
        <w:rPr>
          <w:i w:val="false"/>
          <w:iCs w:val="false"/>
          <w:vertAlign w:val="superscript"/>
        </w:rPr>
        <w:t>th</w:t>
      </w:r>
      <w:r>
        <w:rPr>
          <w:i w:val="false"/>
          <w:iCs w:val="false"/>
        </w:rPr>
        <w:t xml:space="preserve"> May 2025].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Jackson, C.K., Johnson, R.C., Persico, C. (2015). </w:t>
      </w:r>
      <w:r>
        <w:rPr>
          <w:i/>
          <w:iCs/>
        </w:rPr>
        <w:t xml:space="preserve">The </w:t>
      </w:r>
      <w:r>
        <w:rPr>
          <w:i/>
          <w:iCs/>
        </w:rPr>
        <w:t>E</w:t>
      </w:r>
      <w:r>
        <w:rPr>
          <w:i/>
          <w:iCs/>
        </w:rPr>
        <w:t xml:space="preserve">ffects of </w:t>
      </w:r>
      <w:r>
        <w:rPr>
          <w:i/>
          <w:iCs/>
        </w:rPr>
        <w:t>S</w:t>
      </w:r>
      <w:r>
        <w:rPr>
          <w:i/>
          <w:iCs/>
        </w:rPr>
        <w:t xml:space="preserve">chool </w:t>
      </w:r>
      <w:r>
        <w:rPr>
          <w:i/>
          <w:iCs/>
        </w:rPr>
        <w:t>S</w:t>
      </w:r>
      <w:r>
        <w:rPr>
          <w:i/>
          <w:iCs/>
        </w:rPr>
        <w:t xml:space="preserve">pending on </w:t>
      </w:r>
      <w:r>
        <w:rPr>
          <w:i/>
          <w:iCs/>
        </w:rPr>
        <w:t>E</w:t>
      </w:r>
      <w:r>
        <w:rPr>
          <w:i/>
          <w:iCs/>
        </w:rPr>
        <w:t xml:space="preserve">ducational and </w:t>
      </w:r>
      <w:r>
        <w:rPr>
          <w:i/>
          <w:iCs/>
        </w:rPr>
        <w:t>E</w:t>
      </w:r>
      <w:r>
        <w:rPr>
          <w:i/>
          <w:iCs/>
        </w:rPr>
        <w:t xml:space="preserve">conomic </w:t>
      </w:r>
      <w:r>
        <w:rPr>
          <w:i/>
          <w:iCs/>
        </w:rPr>
        <w:t>O</w:t>
      </w:r>
      <w:r>
        <w:rPr>
          <w:i/>
          <w:iCs/>
        </w:rPr>
        <w:t xml:space="preserve">utcomes: Evidence from </w:t>
      </w:r>
      <w:r>
        <w:rPr>
          <w:i/>
          <w:iCs/>
        </w:rPr>
        <w:t>S</w:t>
      </w:r>
      <w:r>
        <w:rPr>
          <w:i/>
          <w:iCs/>
        </w:rPr>
        <w:t>chool</w:t>
      </w:r>
      <w:r>
        <w:rPr>
          <w:i/>
          <w:iCs/>
        </w:rPr>
        <w:t xml:space="preserve"> F</w:t>
      </w:r>
      <w:r>
        <w:rPr>
          <w:i/>
          <w:iCs/>
        </w:rPr>
        <w:t xml:space="preserve">inance </w:t>
      </w:r>
      <w:r>
        <w:rPr>
          <w:i/>
          <w:iCs/>
        </w:rPr>
        <w:t>R</w:t>
      </w:r>
      <w:r>
        <w:rPr>
          <w:i/>
          <w:iCs/>
        </w:rPr>
        <w:t xml:space="preserve">eforms </w:t>
      </w:r>
      <w:r>
        <w:rPr>
          <w:i w:val="false"/>
          <w:iCs w:val="false"/>
        </w:rPr>
        <w:t xml:space="preserve">[online]. Available from: </w:t>
      </w:r>
      <w:hyperlink r:id="rId11">
        <w:r>
          <w:rPr>
            <w:rStyle w:val="Hyperlink"/>
            <w:i w:val="false"/>
            <w:iCs w:val="false"/>
          </w:rPr>
          <w:t>https://www.nber.org/system/files/working_papers/w20847/w20847.pdf</w:t>
        </w:r>
      </w:hyperlink>
      <w:r>
        <w:rPr>
          <w:i w:val="false"/>
          <w:iCs w:val="false"/>
        </w:rPr>
        <w:t xml:space="preserve"> [accessed 8</w:t>
      </w:r>
      <w:r>
        <w:rPr>
          <w:i w:val="false"/>
          <w:iCs w:val="false"/>
          <w:vertAlign w:val="superscript"/>
        </w:rPr>
        <w:t>th</w:t>
      </w:r>
      <w:r>
        <w:rPr>
          <w:i w:val="false"/>
          <w:iCs w:val="false"/>
        </w:rPr>
        <w:t xml:space="preserve"> May 2025].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 w:characterSet="utf-8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pStyle w:val="Heading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IE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IE" w:eastAsia="zh-CN" w:bidi="hi-IN"/>
    </w:rPr>
  </w:style>
  <w:style w:type="paragraph" w:styleId="Heading1">
    <w:name w:val="Heading 1"/>
    <w:basedOn w:val="Heading"/>
    <w:next w:val="BodyText"/>
    <w:qFormat/>
    <w:pPr>
      <w:spacing w:before="240" w:after="120"/>
      <w:outlineLvl w:val="0"/>
    </w:pPr>
    <w:rPr>
      <w:rFonts w:ascii="Liberation Serif" w:hAnsi="Liberation Serif" w:eastAsia="Noto Serif CJK SC" w:cs="Noto Sans Devanagari"/>
      <w:b/>
      <w:bCs/>
      <w:sz w:val="48"/>
      <w:szCs w:val="4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character" w:styleId="Emphasis">
    <w:name w:val="Emphasis"/>
    <w:qFormat/>
    <w:rPr>
      <w:i/>
      <w:iCs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yperlink" Target="https://www.mdpi.com/2227-7102/11/1/10" TargetMode="External"/><Relationship Id="rId9" Type="http://schemas.openxmlformats.org/officeDocument/2006/relationships/hyperlink" Target="https://www.sciencedirect.com/science/article/pii/S0927537121001147" TargetMode="External"/><Relationship Id="rId10" Type="http://schemas.openxmlformats.org/officeDocument/2006/relationships/hyperlink" Target="https://www.gse.upenn.edu/pdf/rmi/TeacherTurnoverTeacherShortages-RMI-Fall-2001.pdf" TargetMode="External"/><Relationship Id="rId11" Type="http://schemas.openxmlformats.org/officeDocument/2006/relationships/hyperlink" Target="https://www.nber.org/system/files/working_papers/w20847/w20847.pdf" TargetMode="Externa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37</TotalTime>
  <Application>LibreOffice/24.2.7.2$Linux_X86_64 LibreOffice_project/420$Build-2</Application>
  <AppVersion>15.0000</AppVersion>
  <Pages>5</Pages>
  <Words>917</Words>
  <Characters>5328</Characters>
  <CharactersWithSpaces>6141</CharactersWithSpaces>
  <Paragraphs>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2025-05-08T15:10:21Z</dcterms:created>
  <dc:creator/>
  <dc:description/>
  <dc:language>en-IE</dc:language>
  <cp:lastModifiedBy/>
  <dcterms:modified xsi:type="dcterms:W3CDTF">2025-05-08T23:19:38Z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