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IRAOD 严格 Source-Free</w:t>
        <w:br/>
        <w:t>旋转目标检测比较报告</w:t>
      </w:r>
    </w:p>
    <w:p>
      <w:r>
        <w:t>交付日期：2026-09-06｜集成分支：exp/strict-af-integration｜seed=42</w:t>
      </w:r>
    </w:p>
    <w:p>
      <w:r>
        <w:t>完成范围：RSAR 42/42 与 DIOR-R 18/18 个 A–F 主表单元格。A 为固定 Source Only，B–F 为最后一次迭代的 EMA Teacher，不是 60 个适配模型。DIOR source clean val/test 分别为 0.410 / 0.295；18 个腐蚀单元格加这两项共 20 项评估。本次只集成现有产物，不训练、不补跑、不选择 checkpoint。</w:t>
      </w:r>
    </w:p>
    <w:p>
      <w:r>
        <w:t>结论：RSAR 上 C 的 mPC 最高（0.3336）；DIOR-R 上 E 最高（0.2757）。完整组合 F 在两套数据的平均适配增益均为负，现有证据不支持“组合优于各单模块”。所有结果只有一个种子，std、置信区间和显著性检验均为 N/A，不作 SOTA 声明。</w:t>
      </w:r>
    </w:p>
    <w:p>
      <w:r>
        <w:t>数值来源：RSAR 固定沿用提交 b8527464c0201efb195d1f311f82bd86fb4976ca；DIOR 来自 gpu-67 上 comparison/deliverables 的原始 CSV，运行代码为 0f98a48b539f9260055fc305784ffbc924f50451。完整二进制仅由远端 manifest 定位。</w:t>
      </w:r>
    </w:p>
    <w:p>
      <w:pPr>
        <w:pStyle w:val="Heading1"/>
      </w:pPr>
      <w:r>
        <w:t>1. 协议、公平性与泄漏约束</w:t>
      </w:r>
    </w:p>
    <w:p>
      <w:r>
        <w:t>评测为 OBB 旋转框 VOC 风格 AP50 / mAP50（IoU=0.5，DOTA le90），不是 COCO AP50:95，也不与 HBB、source-available UDA 或 Target-supervised oracle 混排。A–F 在各数据集内部共享 Oriented R-CNN + OrthoNet-50–FPN 与同一 source；两数据集使用各自 clean train 训练的源模型，不能把二者当成同一 checkpoint。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数据集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Source clean TEST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无标注适配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预算 / 角色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RSAR（6 类）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0.5313997865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每种 corruption 的 val 图像 8467 张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1 epoch / 265 iter；B–F final EMA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DIOR-R（20 类）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0.2948998511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每种 corruption 的 val 图像 5863 张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1 epoch / 185 iter；B–F iter_185_ema.pth</w:t>
            </w:r>
          </w:p>
        </w:tc>
      </w:tr>
    </w:tbl>
    <w:p>
      <w:r>
        <w:t>共同适配设置：seed 42、deterministic、有效 batch=32、LR=0.02；B/C/D 为 1×32，E/F 为 2×16（OOM 后保持全局 batch 的拓扑调整）。共享基础 ST 配方、增广、伪标签基础阈值、rotated NMS 和评测器，仅改变规定的 CGA/VLST 模块。拓扑相同预算不代表浮点轨迹完全一致。</w:t>
      </w:r>
    </w:p>
    <w:p>
      <w:r>
        <w:t>严格边界：weight_l=0、weight_u=1；StrictSourceFreeDOTADataset 使用 image-only val，返回空 gt_bboxes/gt_labels；--no-validate。GT 不进入训练、伪标签、阈值选择、prototype 初始化、early stopping 或 checkpoint 选择；测试标注只用于离线评测/展示。use_bbox_reg=False 是共同 SFOD 配方，并非遗漏监督分支。</w:t>
      </w:r>
    </w:p>
    <w:p>
      <w:r>
        <w:t>C 使用冻结 vanilla CLIP；D/E/F 使用冻结 base SARCLIP，禁用目标标注 LoRA。启动脚本清理 CGA_*、SARCLIP_*、VLST_* 后注入各方法环境；VLST 原型只由教师伪标签在线更新。预训练基础模型的数据溯源限于现有权重与审计，不能宣称另行核验了全部预训练样本。</w:t>
      </w:r>
    </w:p>
    <w:p>
      <w:r>
        <w:t>DIOR source 在 clean train 训练，clean val 0.4098773599 仅作源模型诊断；所有 DIOR rPC 分母使用 clean TEST 0.2948998511，绝不使用较高的 val 分数。</w:t>
      </w:r>
    </w:p>
    <w:p>
      <w:r>
        <w:t>审计入口：experiments/comparison/leakage_audit.md、protocol_audit.md；results/paper_comparison/dior_audit.md、dior_checkpoint_manifest.json；源配置与启动信息保存在 experiments/comparison/dior_source/。</w:t>
      </w:r>
    </w:p>
    <w:p>
      <w:pPr>
        <w:pStyle w:val="Heading1"/>
      </w:pPr>
      <w:r>
        <w:t>2. A–F 定义与公平性分组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ID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VLM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唯一模块差异 / 状态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Source Only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无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无目标域适配；同一 source checkpoint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ST / Mean Teacher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无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CGA off；VLST off；Simple-SFOD / SF-UT 等价 B 已跑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Original CLIP-CGA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CLIP RN50x64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vanilla CLIP；legacy CGA；无 SARCLIP / LoRA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SARCLIP-CGA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base SARCLIP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冻结 ViT-B-32；veto_soft；VLST off；无 LoRA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ST + VLST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base SARCLIP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CGA off；冻结 VLST 编码器；教师伪标签在线原型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SARCLIP-CGA + VLST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base SARCLIP ×2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8"/>
              </w:rPr>
              <w:t>D 的 CGA + E 的 VLST；两个独立冻结编码器</w:t>
            </w:r>
          </w:p>
        </w:tc>
      </w:tr>
    </w:tbl>
    <w:p>
      <w:r>
        <w:t>上述主表均为 Source-Free / OBB / 不使用目标域标签；A 没有适配阶段，B–F 使用最后 EMA。Simple-SFOD / SF-UT 以等价 B ST 已跑，不重复计作独立复现结果，也不宣称完成其官方逐行移植。Target-supervised oracle 未纳入本次交付，数值 N/A。</w:t>
      </w:r>
    </w:p>
    <w:p>
      <w:pPr>
        <w:pStyle w:val="Heading1"/>
      </w:pPr>
      <w:r>
        <w:t>3. 完整逐腐蚀主结果</w:t>
      </w:r>
    </w:p>
    <w:p>
      <w:pPr>
        <w:pStyle w:val="Heading2"/>
      </w:pPr>
      <w:r>
        <w:t>3.1 RSAR：7 corruption × A–F（42/42）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/>
        </w:trPr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Corruption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</w:tr>
      <w:tr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chaff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0.4719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0.4631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0.4663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0.4593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0.4642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0.4495</w:t>
            </w:r>
          </w:p>
        </w:tc>
      </w:tr>
      <w:tr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point_target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0.5158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0.4961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0.5114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0.4997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0.5111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0.5079</w:t>
            </w:r>
          </w:p>
        </w:tc>
      </w:tr>
      <w:tr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gaussian_white_noise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0.5281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0.5202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0.5209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0.5108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0.5230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0.5211</w:t>
            </w:r>
          </w:p>
        </w:tc>
      </w:tr>
      <w:tr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noise_suppression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0.1634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0.1808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0.1861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0.1651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0.1819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0.1413</w:t>
            </w:r>
          </w:p>
        </w:tc>
      </w:tr>
      <w:tr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smart_suppression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0.1437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0.1434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0.1814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0.1464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0.1550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0.1321</w:t>
            </w:r>
          </w:p>
        </w:tc>
      </w:tr>
      <w:tr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am_noise_horizontal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0.2062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0.2275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0.2291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0.1893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0.2348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0.1587</w:t>
            </w:r>
          </w:p>
        </w:tc>
      </w:tr>
      <w:tr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am_noise_vertical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0.1907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0.2365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0.2399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0.1761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0.2496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0.1713</w:t>
            </w:r>
          </w:p>
        </w:tc>
      </w:tr>
    </w:tbl>
    <w:p>
      <w:pPr>
        <w:pStyle w:val="Heading2"/>
      </w:pPr>
      <w:r>
        <w:t>3.2 DIOR-R：3 corruption × A–F（18/18）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/>
        </w:trPr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Corruption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</w:tr>
      <w:tr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brightness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0.2417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0.2447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0.2474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0.2399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0.2448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0.2419</w:t>
            </w:r>
          </w:p>
        </w:tc>
      </w:tr>
      <w:tr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cloudy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0.2903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0.2972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0.2943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0.2867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0.2976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0.2879</w:t>
            </w:r>
          </w:p>
        </w:tc>
      </w:tr>
      <w:tr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contrast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0.2816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0.2846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0.2847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0.2777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0.2847</w:t>
            </w:r>
          </w:p>
        </w:tc>
        <w:tc>
          <w:tcPr>
            <w:tcW w:type="dxa" w:w="1442"/>
          </w:tcPr>
          <w:p>
            <w:pPr>
              <w:spacing w:after="60"/>
            </w:pPr>
            <w:r>
              <w:rPr>
                <w:sz w:val="18"/>
              </w:rPr>
              <w:t>0.2824</w:t>
            </w:r>
          </w:p>
        </w:tc>
      </w:tr>
    </w:tbl>
    <w:p>
      <w:r>
        <w:t>表内 mAP50 保留四位小数；精确计算来自 raw CSV 的浮点值，不从已四舍五入的表格反算。DIOR source clean val/test 三位小数为 0.410 / 0.295；B–F 未提供独立 clean 适配评估，其 clean 单元格为 N/A，不能把 A clean 分数填作适配模型实测值。</w:t>
      </w:r>
    </w:p>
    <w:p>
      <w:pPr>
        <w:pStyle w:val="Heading1"/>
      </w:pPr>
      <w:r>
        <w:t>4. mPC / rPC / 平均适配增益</w:t>
      </w:r>
    </w:p>
    <w:p>
      <w:r>
        <w:t>mPC = 全部 corruption mAP50 的算术平均；rPC = mPC / A_clean_TEST × 100%；mean Δada = mean(mAP_method − mAP_A)，在相同 corruption 上配对。Δ 的 0.01 相当于 1 个百分点，不能与 1% 相对提升混淆。</w:t>
      </w:r>
    </w:p>
    <w:p>
      <w:pPr>
        <w:pStyle w:val="Heading2"/>
      </w:pPr>
      <w:r>
        <w:t>RSAR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tblHeader/>
        </w:trPr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rPC (%)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mean Δada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相对 A mPC (%)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std</w:t>
            </w:r>
          </w:p>
        </w:tc>
      </w:tr>
      <w:tr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0.3171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59.68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+0.0000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+0.00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N/A（单种子）</w:t>
            </w:r>
          </w:p>
        </w:tc>
      </w:tr>
      <w:tr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0.3239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60.96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+0.0068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+2.14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N/A（单种子）</w:t>
            </w:r>
          </w:p>
        </w:tc>
      </w:tr>
      <w:tr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0.3336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62.78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+0.0165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+5.19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N/A（单种子）</w:t>
            </w:r>
          </w:p>
        </w:tc>
      </w:tr>
      <w:tr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0.3067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57.71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-0.0105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-3.30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N/A（单种子）</w:t>
            </w:r>
          </w:p>
        </w:tc>
      </w:tr>
      <w:tr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0.3314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62.36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+0.0142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+4.48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N/A（单种子）</w:t>
            </w:r>
          </w:p>
        </w:tc>
      </w:tr>
      <w:tr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0.2974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55.97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-0.0197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-6.22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N/A（单种子）</w:t>
            </w:r>
          </w:p>
        </w:tc>
      </w:tr>
    </w:tbl>
    <w:p>
      <w:pPr>
        <w:pStyle w:val="Heading2"/>
      </w:pPr>
      <w:r>
        <w:t>DIOR-R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tblHeader/>
        </w:trPr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rPC (%)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mean Δada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相对 A mPC (%)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std</w:t>
            </w:r>
          </w:p>
        </w:tc>
      </w:tr>
      <w:tr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0.2712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91.96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+0.0000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+0.00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N/A（单种子）</w:t>
            </w:r>
          </w:p>
        </w:tc>
      </w:tr>
      <w:tr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0.2755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93.41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+0.0043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+1.58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N/A（单种子）</w:t>
            </w:r>
          </w:p>
        </w:tc>
      </w:tr>
      <w:tr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0.2754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93.40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+0.0043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+1.57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N/A（单种子）</w:t>
            </w:r>
          </w:p>
        </w:tc>
      </w:tr>
      <w:tr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0.2681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90.91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-0.0031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-1.14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N/A（单种子）</w:t>
            </w:r>
          </w:p>
        </w:tc>
      </w:tr>
      <w:tr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0.2757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93.48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+0.0045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+1.66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N/A（单种子）</w:t>
            </w:r>
          </w:p>
        </w:tc>
      </w:tr>
      <w:tr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0.2707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91.80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-0.0005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-0.17</w:t>
            </w:r>
          </w:p>
        </w:tc>
        <w:tc>
          <w:tcPr>
            <w:tcW w:type="dxa" w:w="1682"/>
          </w:tcPr>
          <w:p>
            <w:pPr>
              <w:spacing w:after="60"/>
            </w:pPr>
            <w:r>
              <w:rPr>
                <w:sz w:val="18"/>
              </w:rPr>
              <w:t>N/A（单种子）</w:t>
            </w:r>
          </w:p>
        </w:tc>
      </w:tr>
    </w:tbl>
    <w:p>
      <w:r>
        <w:t>DIOR-R mPC 按 A/B/C/D/E/F 的三位小数为 0.271 / 0.275 / 0.275 / 0.268 / 0.276 / 0.271。B=0.2754657219、C=0.2754480441、E=0.2756796877 的差距很小；四舍五入并列不等于统计等价，单次排序也不等于稳定优势。</w:t>
      </w:r>
    </w:p>
    <w:p>
      <w:pPr>
        <w:pStyle w:val="Heading1"/>
      </w:pPr>
      <w:r>
        <w:t>5. Recovery 不稳定性与统计解释</w:t>
      </w:r>
    </w:p>
    <w:p>
      <w:r>
        <w:t>recovery = (mAP_method − mAP_A) / (A_clean − A_corruption)，仅在分母为正时定义；否则为 N/A。mean recovery 是逐腐蚀比值的平均，不是 mean Δada 除以平均性能下降。它可能与 mean Δada 的符号不同，不用于主排名。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RSAR mean recovery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DIOR mean recovery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+0.000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+0.000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-0.515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+0.590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-0.317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+0.400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-0.951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-0.366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-0.240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+0.622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-0.476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-0.152</w:t>
            </w:r>
          </w:p>
        </w:tc>
      </w:tr>
    </w:tbl>
    <w:p>
      <w:r>
        <w:t>DIOR cloudy 分母仅 0.004631579，contrast 为 0.013296723，均被远端标记 unstable；cloudy 的 E recovery 约 1.577 只是适配后略超 source clean 分数，不代表稳健的“157.7% 全面恢复”。RSAR gaussian_white_noise 的分母仅 0.003262639，point_target 0.015559673，chaff 0.059468895；小幅负迁移会放大，使 C/E 的 mean recovery 为负而 mean Δada 为正。</w:t>
      </w:r>
    </w:p>
    <w:p>
      <w:r>
        <w:t>单种子 seed=42：跨 corruption 的变化不是跨 seed 标准差；不以 corruption 充当独立重复实验，不报告虚构 std、p 值或显著性。如需后续统计结论，应先冻结协议再进行独立多种子重复；本次未启动新实验。</w:t>
      </w:r>
    </w:p>
    <w:p>
      <w:pPr>
        <w:pStyle w:val="Heading1"/>
      </w:pPr>
      <w:r>
        <w:t>6. Per-class 与数值追溯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索引文件（results/paper_comparison/）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行数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覆盖 / 精度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dior_raw_results.csv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20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18 corruption + source clean val/test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dior_per_corruption.csv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18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逐格 Δada / recovery / 稳定性标记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dior_per_class.csv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400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20 个评估 × 20 类 AP50；类 AP 为日志三位小数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dior_evaluation_manifest.csv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20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原始 eval JSON + config + checkpoint 绝对路径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per_class_summary.csv（RSAR）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78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既有 78 行；不是 RSAR 全矩阵 per-class 完整导出</w:t>
            </w:r>
          </w:p>
        </w:tc>
      </w:tr>
    </w:tbl>
    <w:p>
      <w:r>
        <w:t>DIOR per-class 分组：clean_val/A: 20 类；clean/A: 20 类；brightness/A: 20 类；brightness/B: 20 类；brightness/C: 20 类；brightness/D: 20 类；brightness/E: 20 类；brightness/F: 20 类；cloudy/A: 20 类；cloudy/B: 20 类；cloudy/C: 20 类；cloudy/D: 20 类；cloudy/E: 20 类；cloudy/F: 20 类；contrast/A: 20 类；contrast/B: 20 类；contrast/C: 20 类；contrast/D: 20 类；contrast/E: 20 类；contrast/F: 20 类。</w:t>
      </w:r>
    </w:p>
    <w:p>
      <w:r>
        <w:t>类别顺序见 dior_checkpoint_manifest.json（expressway 两类在 dam 之前，统一小写）。per-class 的 AP 已四舍五入到三位小数，其均值可能与 full-precision mAP 略有差异，不得用此差异改写 raw_results。原始日志、预测与权重仍留在远端；manifest 记录的 eval JSON 和 checkpoint 才是本地可追溯入口。</w:t>
      </w:r>
    </w:p>
    <w:p>
      <w:pPr>
        <w:pStyle w:val="Heading1"/>
      </w:pPr>
      <w:r>
        <w:t>7. 同图可视化与 RoI 文件定位</w:t>
      </w:r>
    </w:p>
    <w:p>
      <w:r>
        <w:t>DIOR 固定使用 ImageSets/test.txt 的前 16 个 ID（11726–11741），三个 corruption、六种方法使用同一集合；不依据任何方法的结果挑图。共 3×6×16=288 张检测图，show-score-thr=0.3；共享源评测配置的 score_thr=0.05、rotated NMS IoU=0.1，展示阈值不等于评测阈值。为控制仓库体积，本 DOCX 不嵌入图片，也未据此声称具体图像上的定性优势。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本地 manifest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记录数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用途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dior_visualization_manifest.csv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51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远端原始目录汇总：18 vis + 33 RoI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dior_visualization_files.csv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288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逐图 image / method / config / checkpoint / show_dir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dior_roi_manifest.csv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33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3×(A source + B–F EMA/Student)，每项 16 图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dior_visualization_selection.json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16 IDs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固定 test 前 16 图，无挑图</w:t>
            </w:r>
          </w:p>
        </w:tc>
      </w:tr>
    </w:tbl>
    <w:p>
      <w:r>
        <w:t>远端根目录（gpu-67）：/mnt/shared/zechuan/iraod_artifacts/comparison/deliverables/results/paper_comparison/</w:t>
      </w:r>
    </w:p>
    <w:p>
      <w:r>
        <w:t>检测图：visualizations/DIOR/&lt;corruption&gt;/&lt;A-F&gt;/&lt;image_id&gt;.jpg。例：visualizations/DIOR/brightness/A/11726.jpg；同图 B–F 只替换方法目录。</w:t>
      </w:r>
    </w:p>
    <w:p>
      <w:r>
        <w:t>RoI：roi_features/DIOR/&lt;corruption&gt;/&lt;A-F&gt;/&lt;ema|student&gt;/&lt;image_id&gt;.npy；同目录 index.json 保存 image_id、n_roi、preds[class_id, score, rotated_box]。A 的 ema 目录实际保存 source 特征，无独立 Student；B–F 同时保留最后 EMA 与 Student，共 33 目录 / 528 个特征文件。所有特征提取点均为 roi_head.bbox_head.fc_cls 输入。</w:t>
      </w:r>
    </w:p>
    <w:p>
      <w:r>
        <w:t>重要限制：当前导出是 pre-NMS RoI feature 行 + post-NMS 检测 preds，没有逐行匹配索引，不能把 preds 直接当作每个 feature 的标签/框。33 个目录存在不等于“带逐实例标签的 t-SNE 已就绪”；可做无标签特征分析，按预测类别着色的实例级分析需先补齐 proposal/NMS 行映射。这属于原始交付字段未完全满足的限制，本次没有修改或重跑特征导出。</w:t>
      </w:r>
    </w:p>
    <w:p>
      <w:r>
        <w:t>RSAR：已有 run_manifest 记录 chaff 32 图的可视化及部分 RoI 状态，但本地 visualization_manifest.csv 仍是 not_started 占位行，本次未扩展其二进制或逐图索引；不能据 42/42 数值完成推断七种干扰的定性产物全覆盖。</w:t>
      </w:r>
    </w:p>
    <w:p>
      <w:pPr>
        <w:pStyle w:val="Heading1"/>
      </w:pPr>
      <w:r>
        <w:t>8. 外部基线：N/A 的具体原因</w:t>
      </w:r>
    </w:p>
    <w:p>
      <w:r>
        <w:t>N/A 表示当前冻结框架没有经过忠实移植、验证及同协议评估的数值，不是方法失效，也不是声称理论上无法移植。作者仓库地址来自原始计划；除已有远端审计外，本次未重新审读这些官方实现，不能编造实现细节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方法 / 官方仓库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忠实移植边界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IRG-SFDA</w:t>
              <w:br/>
              <w:t>vibashan/irg-sfda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缺 OBB 实例关系图模块与 rotated IoU/proposal 对应实现；不能把 HBB 图机制直接接入共享源并宣称已复现。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LPLD</w:t>
              <w:br/>
              <w:t>CV-Det/LPLD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冻结树与远端无对应代码/config/checkpoint；伪标签蒸馏及 proposal 对应的 rotated 匹配未移植、未验证，不能以 B 改名替代。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DRU</w:t>
              <w:br/>
              <w:t>lbktrinh/DRU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0f98a48 中无实现；尚未核验其核心机制能否在固定 source 和预算下独立于原 detector 移植，不能用近似替身填表。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AASFOD / A²SFOD</w:t>
              <w:br/>
              <w:t>ChuQiaosong/AASFOD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无可执行 OBB port；模块、assignment/IoU/NMS 的旋转语义及无目标 GT 配方未验证，现有材料不足以宣称忠实重现。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SF-YOLO</w:t>
              <w:br/>
              <w:t>vs-cv/sf-yolo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原 YOLO detector 不同于共享 Oriented R-CNN；直接使用 YOLO 或另训 source 会破坏主表公平性，独立核心机制 OBB 移植尚未完成。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Simple-SFOD / SF-UT</w:t>
              <w:br/>
              <w:t>EPFL-IMOS/simple-SFOD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等价 B 已跑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8"/>
              </w:rPr>
              <w:t>Mean Teacher / Unbiased Teacher ST 对应本次 B；RSAR 7 格、DIOR 3 格，避免重复计数；非额外官方移植结果。</w:t>
            </w:r>
          </w:p>
        </w:tc>
      </w:tr>
    </w:tbl>
    <w:p>
      <w:pPr>
        <w:pStyle w:val="Heading1"/>
      </w:pPr>
      <w:r>
        <w:t>9. Recovery commands 与复现材料</w:t>
      </w:r>
    </w:p>
    <w:p>
      <w:r>
        <w:t>从本地仓库执行以下命令连接 gpu-67，使用现有远端环境和绝对路径。这些是恢复入口，不代表本次执行过训练。原脚本的 skip 条件并非通用断点恢复：训练匹配任意 iter_*_ema.pth，评估检查 eval_exit=0；中断产物须人工确认 iter_185_ema.pth 与成功状态并隔离残缺输出，不能把中间 checkpoint 当作 final EMA。缺数据、权重、原环境或脚本时不能保证恢复。</w:t>
      </w:r>
    </w:p>
    <w:p>
      <w:r>
        <w:t>单格（示例：B / brightness）：</w:t>
        <w:br/>
        <w:t>ssh gpu-67 'bash -s -- cell B brightness 4' &lt; results/paper_comparison/dior_recovery_commands.sh</w:t>
      </w:r>
    </w:p>
    <w:p>
      <w:r>
        <w:t>完整矩阵（顺序运行；E/F 使用指定双卡）：</w:t>
        <w:br/>
        <w:t>ssh gpu-67 'bash -s -- matrix 4 4,5' &lt; results/paper_comparison/dior_recovery_commands.sh</w:t>
      </w:r>
    </w:p>
    <w:p>
      <w:r>
        <w:t>仅 source clean val/test：</w:t>
        <w:br/>
        <w:t>ssh gpu-67 'bash -s -- source 4' &lt; results/paper_comparison/dior_recovery_commands.sh</w:t>
      </w:r>
    </w:p>
    <w:p>
      <w:r>
        <w:t>按需重新生成可视化 / RoI 的原始入口：远端 comparison/dior/queue_0f98a48/run_vis.sh &lt;gpu&gt; &lt;method&gt; &lt;corruption&gt;；run_roi.sh &lt;gpu&gt; &lt;method&gt; &lt;corruption&gt; &lt;ema|student&gt;。原始 run_roi 只判断 index.json 是否存在；残缺输出应由人工确认并隔离后恢复，不得把存在文件当作完整成功。</w:t>
      </w:r>
    </w:p>
    <w:p>
      <w:r>
        <w:t>小型脚本、DIOR overlay 与 source resolved config 已存入 experiments/comparison/dior_recovery/ 和 dior_source/；它们是保留原绝对路径的执行快照，不是可在本地 CPU 环境直接运行的训练入口。RSAR 原有恢复入口保持 experiments/comparison/reproduction_commands.sh。</w:t>
      </w:r>
    </w:p>
    <w:p>
      <w:pPr>
        <w:pStyle w:val="Heading1"/>
      </w:pPr>
      <w:r>
        <w:t>10. 主要结论、限制与交付边界</w:t>
      </w:r>
    </w:p>
    <w:p>
      <w:r>
        <w:t>① 观测：RSAR C/E 较 A 分别增加 0.0165 / 0.0142 mPC；提升主要来自强干扰，而 chaff/point_target/gaussian 上出现负迁移。解释：语义模块收益具有干扰依赖性，不能笼统声称全场景提升。</w:t>
      </w:r>
    </w:p>
    <w:p>
      <w:r>
        <w:t>② 观测：DIOR B/C/E 为约 +0.0043 / +0.0043 / +0.0045，D 为 −0.0031，F 为 −0.0005。解释：冻结 SARCLIP-CGA 及其组合在光学 DIOR 上没有平均增益；模态错配或模块冲突仅是待检验假设，不能由聚合值确定因果。</w:t>
      </w:r>
    </w:p>
    <w:p>
      <w:r>
        <w:t>③ 观测：F 在 RSAR 七种干扰均低于 A，平均 −0.0197，DIOR 也未超过 B/C/E。含义：论文应如实呈现负结果与消融，不通过挑图、挑 checkpoint 或换分母美化完整方法。</w:t>
      </w:r>
    </w:p>
    <w:p>
      <w:r>
        <w:t>完成的是既有数值与可追溯小型产物的集成报告，不是宣称原计划所有扩展交付均完成。限制包括：单种子、仅三种已存在 DIOR corruption、RSAR per-class/定性覆盖不完整、RoI 无 pre/post-NMS 逐行映射、外部五类方法 N/A、oracle 未跑；未重新核验全部基础模型预训练数据，也未对远端全部图片逐张做人工视觉判断。DIOR 可视化与 mAP 是独立 test.py 调用：前者固定 16 图，后者完整 TEST，不能混淆。</w:t>
      </w:r>
    </w:p>
    <w:p>
      <w:r>
        <w:t>仓库只保存小型 CSV / LaTeX / Markdown / JSON / YAML / recovery scripts 与本 DOCX。不提交 checkpoint、数据、全量图片/特征或日志；用户主 checkout 的“对比实验的plan.docx”保持原样且不提交。原始计划字段依据用户指定的 plan.original.docx 逐项对照。</w:t>
      </w:r>
    </w:p>
    <w:sectPr w:rsidR="00FC693F" w:rsidRPr="0006063C" w:rsidSect="00034616">
      <w:footerReference w:type="default" r:id="rId9"/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IRAOD · seed 42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20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20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20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IRAOD 严格 Source-Free 旋转检测完整比较报告</dc:title>
  <dc:subject>RSAR 7×6 与 DIOR-R 3×6；单种子 final-EMA</dc:subject>
  <dc:creator>IRAOD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