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IRAOD 多种子结果与证据覆盖报告</w:t>
      </w:r>
    </w:p>
    <w:p>
      <w:r>
        <w:t>结果状态：partial。本文件是消费者产物，报告生成成功不等于实验或全部八项任务完成。</w:t>
      </w:r>
    </w:p>
    <w:p>
      <w:r>
        <w:t>输入清单：/mnt/shared/zechuan/iraod_artifacts/comparison/xaf_student_quant_20260908/ports108_collection_752a139/report-manifest.json</w:t>
      </w:r>
    </w:p>
    <w:p>
      <w:r>
        <w:t>消费者提交：752a139c969911608b8807db2839332ddf6e2aae</w:t>
      </w:r>
    </w:p>
    <w:p>
      <w:pPr>
        <w:pStyle w:val="Heading1"/>
      </w:pPr>
      <w:r>
        <w:t>主要观察与统计限制</w:t>
      </w:r>
    </w:p>
    <w:p>
      <w:r>
        <w:t>本次只收集已完成的 IRG/LPLD/SFUT 各36个最终 EMA 全 TEST 单元，并复用12个固定 source 单元：量化证据120/120完整。AASFOD、SFYOLO、消融、Student及RoI结果不在本次量化范围；整体扩展交付仍未完成。</w:t>
      </w:r>
    </w:p>
    <w:p>
      <w:r>
        <w:t>RSAR 的固定 A mPC 为31.7142%。IRG/LPLD/SFUT 的三种子 mPC 均值分别为30.6249%、28.8620%、32.2515%，相对 A 为-1.0893、-2.8521、+0.5373个百分点；相对 mPC 变化为-3.4347%、-8.9933%、+1.6943%。</w:t>
      </w:r>
    </w:p>
    <w:p>
      <w:r>
        <w:t>RSAR种子44出现五个零检测单元：point_target上的IRG/LPLD，以及noise_suppression上的IRG/LPLD/SFUT，均为8538张TEST图像、0个post-NMS检测、mAP=0。这些实际零结果保留在均值与统计中；原生输出完整不等于已确认训练数值健康，零检测原因尚未在本次收集中诊断。</w:t>
      </w:r>
    </w:p>
    <w:p>
      <w:r>
        <w:t>RSAR的IRG种子42/43/44 mPC为34.0998%、34.0452%、23.7296%；LPLD为32.6856%、32.2499%、21.6506%。第三个种子的零检测单元造成明显波动，不得删除、择优替换或据此自动重跑。</w:t>
      </w:r>
    </w:p>
    <w:p>
      <w:r>
        <w:t>DIOR 的固定 A mPC 为27.1185%。IRG/LPLD/SFUT 均值分别为27.3923%、27.5468%、27.2890%，相对 A 为+0.2738、+0.4283、+0.1705个百分点；相对 mPC 变化为+1.0095%、+1.5793%、+0.6288%。</w:t>
      </w:r>
    </w:p>
    <w:p>
      <w:r>
        <w:t>统计单位是三个适配种子，条件于同一固定 source。当前三方法阶段的mPC配对差值精确双侧sign-flip Holm p：RSAR均为1，DIOR均为0.75。DIOR SFUT的t检验Holm p约0.001188依赖差值正态假设及很小的种子方差，不能替代分布无关证据；本阶段校正不是未来全部方法的最终比较家族。</w:t>
      </w:r>
    </w:p>
    <w:p>
      <w:r>
        <w:t>五个零检测单元没有可用于当前均衡采样t-SNE的检测实例，影响种子44的RSAR point_target/EMA及noise_suppression/EMA联合组。不得伪造点、换种子或调整展示阈值来隐藏问题；完整RoI/可视化/嵌入交付仍等待实际GPU输出及对此现象的解释。</w:t>
      </w:r>
    </w:p>
    <w:p>
      <w:pPr>
        <w:pStyle w:val="Heading1"/>
      </w:pPr>
      <w:r>
        <w:t>Source producer 元数据更正审计</w:t>
      </w:r>
    </w:p>
    <w:p>
      <w:r>
        <w:t>以下仅更正报告中的 source producer 解释：原 sidecar 保留，权重、预测、实际图像 ID 和 mAP 均不改变，不因此重训或重推理。recorded 与 actual 明确分列；B–F 的适配训练 producer 不套用 source producer。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数据集/域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sidecar recorded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source actual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原始依据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</w:tbl>
    <w:p>
      <w:pPr>
        <w:pStyle w:val="Heading1"/>
      </w:pPr>
      <w:r>
        <w:t>1. 统计单位与适用范围</w:t>
      </w:r>
    </w:p>
    <w:p>
      <w:r>
        <w:t>实验单位为适配种子 42、43、44。先在每个种子内对全部腐蚀域求 mPC，并在同域求相对固定 A 的差值后平均，再跨种子计算均值与样本标准差（ddof=1）。A 仅一次固定 source 测量，不复制成三次独立测量；所有区间只反映条件于固定 source 的适配随机性。不把类别、图像或腐蚀域当作独立种子，也不要求 B–D 单卡和 E/F 双卡具有相同 GPU UUID。</w:t>
      </w:r>
    </w:p>
    <w:p>
      <w:r>
        <w:t>n=3，检验低功效。95% CI 为 100000 次 seed-block 百分位 bootstrap（随机种子 42），小样本下不稳定。双侧 t 检验施于三个种子级配对差值，依赖差值正态假设；零方差时 t 检验未定义。精确 sign-flip 枚举 8 种符号，其最小双侧 p=0.25。Holm 按清单预先声明的方法、数据集、角色、指标及比较组校正；家族不完整不输出调整后 p 值。</w:t>
      </w:r>
    </w:p>
    <w:p>
      <w:r>
        <w:t>声明方法：A, IRG, LPLD, SFUT</w:t>
      </w:r>
    </w:p>
    <w:p>
      <w:r>
        <w:t>common_one_epoch 为共同一轮预算；AASFOD 使用已披露的预算缩放移植。SFYOLO 为 extended_two_epoch_TAM，两轮最终标签 RSAR531 / DIOR369，不与一轮方法合并排名或统计。LoRA-CGA / LoRA-CGA+VLST 如被声明，仅在 target_supervised_appendix 中展示，绝不计入 strict main。各表与图按清单顺序而非结果排序；固定 A 在各组仅作同一参考，并非新增测量。</w:t>
      </w:r>
    </w:p>
    <w:p>
      <w:r>
        <w:t>历史 rPC 始终为 100 × mPC / 固定 A clean TEST；method_clean_normalized_percent 另列，分母为同方法同种子的独立 clean 适配实测值。缺域或缺种子时不生成完整多种子均值、标准差或 CI，不据少量已完成结果排名。</w:t>
      </w:r>
    </w:p>
    <w:p>
      <w:r>
        <w:t>Recovery ratio = (方法 corruption AP50 − A corruption AP50) / (A clean TEST AP50 − A corruption AP50)。分母非正时未定义，接近零时不稳定；不截断负值或大于 1 的值，不据此排名，逐种子逐域数值见 recovery.csv。</w:t>
      </w:r>
    </w:p>
    <w:p>
      <w:pPr>
        <w:pStyle w:val="Heading1"/>
      </w:pPr>
      <w:r>
        <w:t>2. 量化与逐实例覆盖</w:t>
      </w:r>
    </w:p>
    <w:p>
      <w:r>
        <w:t>Explicit-method quantitative TEST collection only; parent extensions incomplete. Full TEST RoI, fixed visualizations and joint t-SNE remain pending.</w:t>
      </w:r>
    </w:p>
    <w:p>
      <w:r>
        <w:t>本次只收集声明角色的全 TEST 量化结果；不把既有 core 的定性覆盖分母当作扩展任务范围。新增 RoI、固定可视化与联合嵌入仍由已批准扩展清单跟踪。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证据类型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已完成 / 预期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范围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量化单元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120 / 120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全 TEST predictions；需实际有序 image-ID 证据</w:t>
            </w:r>
          </w:p>
        </w:tc>
      </w:tr>
    </w:tbl>
    <w:p>
      <w:r>
        <w:t>predictions.pkl 与原生 image-ID 顺序是量化证据，不包含 fc_cls 特征，不能替代全 TEST aligned RoI；定性导出未在本次执行。</w:t>
      </w:r>
    </w:p>
    <w:p>
      <w:pPr>
        <w:pStyle w:val="Heading2"/>
      </w:pPr>
      <w:r>
        <w:t>common_one_epoch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数据集/域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方法/角色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均值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样本 std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0.5314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IRG/ema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0.548037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0.00238568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LPLD/ema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0.533946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0.00314361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SFUT/ema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0.546414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0.00202157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0.471931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IRG/ema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0.490408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0.0080862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LPLD/ema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0.479142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0.00207382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SFUT/ema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0.484269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0.0016733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0.528137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IRG/ema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0.547409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0.00355565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LPLD/ema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0.533572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0.00351447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SFUT/ema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0.539022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0.00361984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0.51584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IRG/ema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0.350819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0.303818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LPLD/ema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0.345463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0.299213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SFUT/ema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0.522725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0.00134027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0.163407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IRG/ema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0.128399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0.111279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LPLD/ema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0.124092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0.107469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SFUT/ema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0.116738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0.101099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0.206206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IRG/ema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0.220627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0.0036059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LPLD/ema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0.195088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0.00534889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SFUT/ema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0.220683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0.00197723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0.143726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IRG/ema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0.159513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0.00760352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LPLD/ema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0.13723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0.0199218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SFUT/ema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0.1474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0.00141567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0.190744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IRG/ema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0.246566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0.00671072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LPLD/ema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0.205754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0.0270974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SFUT/ema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0.226769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0.00619668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0.2949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IRG/ema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0.297763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0.000336837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LPLD/ema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0.298629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0.00156137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SFUT/ema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0.29599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0.000125011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0.241684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IRG/ema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0.244225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0.000921654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LPLD/ema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0.247827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0.000395481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SFUT/ema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0.242009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0.000232165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0.290268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IRG/ema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0.2933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0.00178494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LPLD/ema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0.293215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0.00236902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SFUT/ema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0.293876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0.000181506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0.281603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IRG/ema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0.284244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0.000770519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LPLD/ema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0.285362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0.00141068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SFUT/ema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0.282786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7.95348e-05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</w:tbl>
    <w:p>
      <w:pPr>
        <w:pStyle w:val="Heading1"/>
      </w:pPr>
      <w:r>
        <w:t>3. 多种子汇总</w:t>
      </w:r>
    </w:p>
    <w:p>
      <w:pPr>
        <w:pStyle w:val="Heading2"/>
      </w:pPr>
      <w:r>
        <w:t>common_one_epoch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数据集/角色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指标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均值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样本 std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95% CI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0.317142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59.6804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0.5314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0.306249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0.0597151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[0.237296, 0.340998]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-0.0108928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0.0597151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[-0.0798452, 0.0238564]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57.6306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11.2373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[44.655, 64.1698]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55.8501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10.68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[43.518, 62.0734]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0.548037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0.00238568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[0.545283, 0.549481]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0.016637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0.00238568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[0.0138834, 0.0180809]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0.28862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0.062491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[0.216506, 0.326856]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-0.0285214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0.062491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[-0.100636, 0.00971431]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54.3132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11.7597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[40.7425, 61.5085]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54.014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11.4556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[40.8016, 61.1718]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0.533946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0.00314361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[0.530631, 0.536884]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0.00254647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0.00314361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[-0.000769019, 0.00548404]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0.322515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0.0131876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[0.307293, 0.330488]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0.00537347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0.0131876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[-0.00984852, 0.0133461]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60.6916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2.48167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[57.8271, 62.1919]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59.0256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2.46487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[56.1848, 60.5979]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0.546414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0.00202157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[0.544184, 0.548126]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0.0150145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0.00202157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[0.0127844, 0.0167267]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0.271185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91.9584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0.2949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0.273923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0.00110865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[0.272814, 0.275031]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0.00273774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0.00110865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[0.001629, 0.0038463]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92.8868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0.37594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[92.5108, 93.2627]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91.9933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0.268952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[91.7185, 92.256]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0.297763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0.000336837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[0.297447, 0.298118]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0.00286358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0.000336837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[0.00254741, 0.00321785]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0.275468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0.00133457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[0.274205, 0.276864]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0.00428269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0.00133457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[0.00302013, 0.00567917]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93.4107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0.45255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[92.9825, 93.8842]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92.245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0.46157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[91.7476, 92.6594]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0.298629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0.00156137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[0.29699, 0.3001]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0.00372941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0.00156137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[0.0020906, 0.00519967]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0.27289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5.87917e-05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[0.272823, 0.272934]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0.00170525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5.87917e-05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[0.00163829, 0.00174841]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92.5367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0.0199362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[92.5139, 92.5513]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92.1958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0.058023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[92.129, 92.2328]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0.29599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0.000125011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[0.295897, 0.296132]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0.00109018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0.000125011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[0.000997216, 0.0012323]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</w:tbl>
    <w:p>
      <w:r>
        <w:t>RSAR_ema_common_one_epoch_mpc.png：仅展示完整种子块，误差棒为样本标准差；A 无重复测量误差棒。</w:t>
      </w:r>
    </w:p>
    <w:p>
      <w:r>
        <w:drawing>
          <wp:inline xmlns:a="http://schemas.openxmlformats.org/drawingml/2006/main" xmlns:pic="http://schemas.openxmlformats.org/drawingml/2006/picture">
            <wp:extent cx="5029200" cy="2854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AR_ema_common_one_epoch_mp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4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DIOR_ema_common_one_epoch_mpc.png：仅展示完整种子块，误差棒为样本标准差；A 无重复测量误差棒。</w:t>
      </w:r>
    </w:p>
    <w:p>
      <w:r>
        <w:drawing>
          <wp:inline xmlns:a="http://schemas.openxmlformats.org/drawingml/2006/main" xmlns:pic="http://schemas.openxmlformats.org/drawingml/2006/picture">
            <wp:extent cx="5029200" cy="2854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OR_ema_common_one_epoch_mp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4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配对统计</w:t>
      </w:r>
    </w:p>
    <w:p>
      <w:pPr>
        <w:pStyle w:val="Heading2"/>
      </w:pPr>
      <w:r>
        <w:t>common_one_epoch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数据集/角色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指标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t p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sign-flip p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Holm t / sign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0.781966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0.00678446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0.0179655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0.512073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0.295703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0.295703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0.553474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0.00598849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0.0179655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0.0505524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0.061755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0.00458046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0.0130635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0.0308775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0.061755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0.0537586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0.0537586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0.000395984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0.00118795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SFUT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0.00435449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0.0130635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</w:tbl>
    <w:p>
      <w:pPr>
        <w:pStyle w:val="Heading1"/>
      </w:pPr>
      <w:r>
        <w:t>5. 原始值、精度与未完成项</w:t>
      </w:r>
    </w:p>
    <w:p>
      <w:r>
        <w:t>raw_results.csv 保留完整 metric.mAP，不使用已舍入的 metric.AP50。historical/ 逐字节保留输入的历史 seed42 CSV；原始 seed42 mAP 锁定，重评差异另存 eval_mAP50 并标记 metric_conflict，不静默改写旧值。per_class.csv 来自 class_ap.txt，通常仅三位小数，不反算总 mAP。prediction_image_coverage.csv、roi_vis_coverage.csv 和 embedding_index.csv 是三种不同范围的证据。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数据集/域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方法/角色/种子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原因</w:t>
            </w:r>
          </w:p>
        </w:tc>
      </w:tr>
    </w:tbl>
    <w:p>
      <w:r>
        <w:t>全部原始行与每种子聚合见 raw_results.csv、per_seed.csv；本报告不声称完成其他基线移植或未在输入证据中完成的项目。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