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6E32" w:rsidRDefault="00167DA9">
      <w:pPr>
        <w:spacing w:before="200" w:after="100"/>
        <w:jc w:val="center"/>
      </w:pPr>
      <w:r>
        <w:rPr>
          <w:b/>
          <w:bCs/>
          <w:sz w:val="28"/>
          <w:szCs w:val="28"/>
        </w:rPr>
        <w:t xml:space="preserve"> Chapitre Un </w:t>
      </w:r>
    </w:p>
    <w:p w:rsidR="00186E32" w:rsidRDefault="006E36FA">
      <w:pPr>
        <w:pStyle w:val="Titre1"/>
        <w:jc w:val="center"/>
      </w:pPr>
      <w:r>
        <w:t>Introduction Générale</w:t>
      </w:r>
    </w:p>
    <w:p w:rsidR="00186E32" w:rsidRDefault="00186E32">
      <w:pPr>
        <w:spacing w:before="60" w:after="60"/>
      </w:pPr>
    </w:p>
    <w:p w:rsidR="00186E32" w:rsidRDefault="006E36FA">
      <w:pPr>
        <w:pStyle w:val="Titre2"/>
      </w:pPr>
      <w:r>
        <w:t>Introduction</w:t>
      </w:r>
    </w:p>
    <w:p w:rsidR="00186E32" w:rsidRDefault="006E36FA">
      <w:pPr>
        <w:spacing w:before="120" w:after="120" w:line="360" w:lineRule="auto"/>
        <w:jc w:val="both"/>
      </w:pPr>
      <w:r>
        <w:t>Au Cameroun, l'une des étapes les plus déterminantes du parcours scolaire d'un élève est le passage de la classe de Troisième vers la classe de Seconde. C'est à ce carrefour que se décide le choix entre deux séries aux exigences et aux débouchés profondément différents : la Série C, à dominante scientifique, et la Série A, à dominante littéraire. Ce choix, qui conditionne en grande partie la suite du cursus académique et les perspectives professionnelles de l'élève, devrait être le fruit d'une analyse rigoureuse et individualisée de son profil. Or, dans la réalité du système éducatif camerounais, il est très souvent guidé par des considérations subjectives, des pressions familiales, des imitations de camarades ou, pis encore, par un simple manque d'information.</w:t>
      </w:r>
    </w:p>
    <w:p w:rsidR="00186E32" w:rsidRDefault="006E36FA">
      <w:pPr>
        <w:spacing w:before="120" w:after="120" w:line="360" w:lineRule="auto"/>
        <w:jc w:val="both"/>
      </w:pPr>
      <w:r>
        <w:t>Les conseillers d'orientation, qui sont pourtant les acteurs institutionnels chargés d'accompagner cet important moment de transition, font face à des contraintes majeures : un nombre insuffisant de professionnels qualifiés, une répartition géographique inégale — avec une forte concentration dans les zones urbaines au détriment des zones rurales —, et des instruments de travail qui restent en grande partie artisanaux et non standardisés. À ces facteurs s'ajoute la complexité intrinsèque du processus d'orientation, qui exige de croiser simultanément plusieurs types de données : les résultats scolaires de l'élève sur plusieurs trimestres, ses aptitudes cognitives mesurées à travers des tests psychotechniques, ses centres d'intérêt, et même la situation socio-économique de sa famille, qui constitue un facteur déterminant sur la faisabilité des études envisagées.</w:t>
      </w:r>
    </w:p>
    <w:p w:rsidR="00186E32" w:rsidRDefault="006E36FA">
      <w:pPr>
        <w:spacing w:before="120" w:after="120" w:line="360" w:lineRule="auto"/>
        <w:jc w:val="both"/>
      </w:pPr>
      <w:r>
        <w:t xml:space="preserve">Face à ces défis, le développement des technologies de l'intelligence artificielle (IA) et des applications numériques offre aujourd'hui des perspectives inédites pour transformer et moderniser le processus d'orientation scolaire. C'est précisément dans cette dynamique que s'inscrit le présent travail, dont l'objet est la conception et le développement de </w:t>
      </w:r>
      <w:proofErr w:type="spellStart"/>
      <w:r>
        <w:t>CapAvenir</w:t>
      </w:r>
      <w:proofErr w:type="spellEnd"/>
      <w:r>
        <w:t xml:space="preserve"> CMR, une application web intelligente d'aide à l'orientation scolaire automatisée. Cette application, construite autour d'un moteur d'inférence à règles couplé à un agent conversationnel à base d'intelligence artificielle, vise à digitaliser et à objectiver l'ensemble </w:t>
      </w:r>
      <w:r>
        <w:lastRenderedPageBreak/>
        <w:t>du processus d'orientation, de la passation des tests psychotechniques à la génération d'une fiche d'orientation officielle.</w:t>
      </w:r>
    </w:p>
    <w:p w:rsidR="00186E32" w:rsidRDefault="006E36FA">
      <w:pPr>
        <w:spacing w:before="120" w:after="120" w:line="360" w:lineRule="auto"/>
        <w:jc w:val="both"/>
      </w:pPr>
      <w:r>
        <w:t>Dans ce premier chapitre, nous exposons le contexte général de l'étude, formulons la problématique qui la fonde, précisons les questions et objectifs de recherche, délimitons la zone d'étude, soulignons l'importance de ce travail, définissons les concepts essentiels mobilisés, et présentons le plan général du mémoire.</w:t>
      </w:r>
    </w:p>
    <w:p w:rsidR="00186E32" w:rsidRDefault="00186E32">
      <w:pPr>
        <w:spacing w:before="60" w:after="60"/>
      </w:pPr>
    </w:p>
    <w:p w:rsidR="00186E32" w:rsidRDefault="006E36FA">
      <w:pPr>
        <w:pStyle w:val="Titre2"/>
      </w:pPr>
      <w:r>
        <w:t>1.1  Contexte général de l'étude</w:t>
      </w:r>
    </w:p>
    <w:p w:rsidR="00186E32" w:rsidRDefault="006E36FA">
      <w:pPr>
        <w:spacing w:before="120" w:after="120" w:line="360" w:lineRule="auto"/>
        <w:jc w:val="both"/>
      </w:pPr>
      <w:r>
        <w:t>L'éducation constitue le fondement du développement humain, social et économique de tout pays. Au Cameroun, les réformes éducatives successives — notamment l'adoption de l'Approche par Compétences (APC) en 2006 — ont permis de moderniser les pratiques pédagogiques et de mieux arrimer les contenus d'enseignement aux exigences du marché du travail. Cependant, malgré ces avancées, la transition entre le premier cycle de l'enseignement secondaire (représenté par la classe de Troisième) et le second cycle (la classe de Seconde) demeure un moment de grande fragilité pour de nombreux élèves. Cette transition marque en effet le point à partir duquel les parcours se séparent et se spécialisent de façon définitive, entre une voie scientifique (Série C) et une voie littéraire (Série A).</w:t>
      </w:r>
    </w:p>
    <w:p w:rsidR="00186E32" w:rsidRDefault="006E36FA">
      <w:pPr>
        <w:spacing w:before="120" w:after="120" w:line="360" w:lineRule="auto"/>
        <w:jc w:val="both"/>
      </w:pPr>
      <w:r>
        <w:t>Le système éducatif camerounais dispose bien d'un cadre institutionnel pour encadrer l'orientation scolaire, mais ce dispositif souffre de lacunes structurelles importantes. Le ratio conseillers d'orientation / élèves reste très insuffisant. Dans de nombreux établissements secondaires, notamment en zone rurale, il n'existe tout simplement aucun conseiller d'orientation en poste. Dans les établissements qui en disposent, les outils utilisés — carnets de notes papier, entretiens informels, tests psychotechniques administrés à la main et dépouillés manuellement — ne permettent pas de traiter efficacement et de façon simultanée l'ensemble des informations nécessaires à une orientation de qualité.</w:t>
      </w:r>
    </w:p>
    <w:p w:rsidR="00186E32" w:rsidRDefault="006E36FA">
      <w:pPr>
        <w:spacing w:before="120" w:after="120" w:line="360" w:lineRule="auto"/>
        <w:jc w:val="both"/>
      </w:pPr>
      <w:r>
        <w:t xml:space="preserve">La processus d'orientation vers la Seconde, tel qu'il est pratiqué par les conseillers qualifiés, repose en réalité sur cinq grandes catégories de données : les moyennes obtenues dans les matières scientifiques (Mathématiques, Sciences Physiques, Sciences de la Vie et de la Terre) au fil des trois trimestres de la classe de Troisième, les moyennes obtenues dans les matières littéraires (Français, Histoire-Géographie, Anglais) sur ces mêmes trimestres, les scores obtenus à une batterie de cinq tests psychotechniques standardisés mesurant des aptitudes cognitives distinctes, les centres d'intérêt et le projet professionnel de l'élève, et </w:t>
      </w:r>
      <w:r>
        <w:lastRenderedPageBreak/>
        <w:t>enfin les revenus mensuels des parents, qui conditionnent directement la faisabilité des orientations envisagées. Or, le croisement manuel de toutes ces informations est fastidieux, sujet aux erreurs, et difficilement reproductible à grande échelle.</w:t>
      </w:r>
    </w:p>
    <w:p w:rsidR="00186E32" w:rsidRDefault="006E36FA">
      <w:pPr>
        <w:spacing w:before="120" w:after="120" w:line="360" w:lineRule="auto"/>
        <w:jc w:val="both"/>
      </w:pPr>
      <w:r>
        <w:t>C'est pourquoi le recours aux technologies numériques et à l'intelligence artificielle apparaît aujourd'hui comme une nécessité pour moderniser et démocratiser l'orientation scolaire. Le taux de pénétration des téléphones mobiles au Cameroun dépasse les 80 % de la population (Ministère des Postes et Télécommunications, 2022), ce qui représente une infrastructure favorable au déploiement d'applications numériques accessibles. Par ailleurs, l'essor des outils d'IA — notamment les modèles de traitement du langage et les moteurs d'inférence logique — ouvre des voies concrètes pour automatiser des processus de recommandation jusqu'ici réservés aux seuls experts humains.</w:t>
      </w:r>
    </w:p>
    <w:p w:rsidR="00186E32" w:rsidRDefault="00186E32">
      <w:pPr>
        <w:spacing w:before="60" w:after="60"/>
      </w:pPr>
    </w:p>
    <w:p w:rsidR="00186E32" w:rsidRDefault="006E36FA">
      <w:pPr>
        <w:pStyle w:val="Titre2"/>
      </w:pPr>
      <w:r>
        <w:t>1.2  Problématique</w:t>
      </w:r>
    </w:p>
    <w:p w:rsidR="00186E32" w:rsidRDefault="006E36FA">
      <w:pPr>
        <w:spacing w:before="120" w:after="120" w:line="360" w:lineRule="auto"/>
        <w:jc w:val="both"/>
      </w:pPr>
      <w:r>
        <w:t>La présente recherche est centrée sur la question de l'automatisation et de l'objectivation du processus d'orientation scolaire à l'issue de la classe de Troisième au Cameroun. Elle cherche à déterminer dans quelle mesure un système informatique intelligent, capable d'intégrer simultanément les performances académiques d'un élève sur trois trimestres, ses aptitudes cognitives mesurées par des tests psychotechniques standardisés, ses centres d'intérêt et son projet professionnel, ainsi que la situation économique de sa famille, peut produire des recommandations d'orientation fiables, personnalisées, évolutives et accessibles à tous, en lieu et place ou en complément des dispositifs humains existants.</w:t>
      </w:r>
    </w:p>
    <w:p w:rsidR="00186E32" w:rsidRDefault="00186E32">
      <w:pPr>
        <w:spacing w:before="60" w:after="60"/>
      </w:pPr>
    </w:p>
    <w:p w:rsidR="00186E32" w:rsidRDefault="006E36FA">
      <w:pPr>
        <w:pStyle w:val="Titre2"/>
      </w:pPr>
      <w:r>
        <w:t>1.3  Problème de l'étude</w:t>
      </w:r>
    </w:p>
    <w:p w:rsidR="00186E32" w:rsidRDefault="006E36FA">
      <w:pPr>
        <w:spacing w:before="120" w:after="120" w:line="360" w:lineRule="auto"/>
        <w:jc w:val="both"/>
      </w:pPr>
      <w:r>
        <w:t xml:space="preserve">Dans l'enseignement secondaire camerounais, la décision d'orienter un élève de la classe de Troisième vers la Seconde C (scientifique) ou vers la Seconde A (littéraire) est l'une des plus importantes de toute la scolarité de cet élève. Elle devrait reposer sur une analyse croisée et rigoureuse de cinq types de données complémentaires : la moyenne trimestrielle dans les matières scientifiques, la moyenne trimestrielle dans les matières littéraires, les scores aux tests psychotechniques, les préférences et le projet professionnel de l'élève, et le revenu mensuel de ses parents. En pratique, ce traitement </w:t>
      </w:r>
      <w:proofErr w:type="spellStart"/>
      <w:r>
        <w:t>multivarié</w:t>
      </w:r>
      <w:proofErr w:type="spellEnd"/>
      <w:r>
        <w:t xml:space="preserve"> est rarement effectué dans sa totalité, faute d'outils adaptés.</w:t>
      </w:r>
    </w:p>
    <w:p w:rsidR="00186E32" w:rsidRDefault="006E36FA">
      <w:pPr>
        <w:spacing w:before="120" w:after="120" w:line="360" w:lineRule="auto"/>
        <w:jc w:val="both"/>
      </w:pPr>
      <w:r>
        <w:lastRenderedPageBreak/>
        <w:t>Les tests psychotechniques utilisés pour l'orientation secondaire comprennent cinq épreuves standardisées complémentaires. Le Test des Dominos (D48) mesure le raisonnement logique et abstrait à travers quarante items ; le Test KRX évalue l'aptitude mathématique et la capacité à identifier des suites numériques en vingt questions ; le Test Mécanique (MECA) apprécie la compréhension des phénomènes physiques et mécaniques en trente-six items ; le Test de Vocabulaire (BV11), composé de cinquante-six questions, sonde l'aptitude littéraire à travers des exercices de synonymes et de figures de style ; enfin, le Test de Proverbes (PRC) évalue la compréhension linguistique et le raisonnement à travers quarante items. À partir de ces cinq tests, deux indices synthétiques sont calculés : le Score d'Aptitude Scientifique (SA), qui est la moyenne étalonnée du KRX et du D48, et le Score d'Aptitude Littéraire (LA), qui est la moyenne étalonnée du BV11 et du PRC.</w:t>
      </w:r>
    </w:p>
    <w:p w:rsidR="00186E32" w:rsidRDefault="006E36FA">
      <w:pPr>
        <w:spacing w:before="120" w:after="120" w:line="360" w:lineRule="auto"/>
        <w:jc w:val="both"/>
      </w:pPr>
      <w:r>
        <w:t xml:space="preserve">Or, lorsque ces tests sont administrés manuellement, leur correction et leur étalonnage prennent du temps, sont susceptibles d'erreurs humaines, et ne permettent pas une restitution immédiate aux élèves et à leurs familles. De plus, même lorsqu'ils sont correctement calculés, leur interprétation doit être mise en regard avec les notes scolaires sur plusieurs trimestres et les informations relatives au profil et au contexte familial de l'élève — une opération de croisement </w:t>
      </w:r>
      <w:proofErr w:type="spellStart"/>
      <w:r>
        <w:t>multivarié</w:t>
      </w:r>
      <w:proofErr w:type="spellEnd"/>
      <w:r>
        <w:t xml:space="preserve"> que les outils traditionnels ne facilitent pas. Il en résulte une qualité d'orientation souvent insuffisante, des décisions prises en fin de cycle sans données complètes, et des situations de conflits entre le profil objectif de l'élève et son souhait de série — comme le cas d'un élève aux très bonnes aptitudes scientifiques qui souhaite néanmoins rejoindre la Série A pour des raisons personnelles, ou au contraire d'un élève aux résultats littéraires dominants qui aspire à la Série C.</w:t>
      </w:r>
    </w:p>
    <w:p w:rsidR="00186E32" w:rsidRDefault="006E36FA">
      <w:pPr>
        <w:spacing w:before="120" w:after="120" w:line="360" w:lineRule="auto"/>
        <w:jc w:val="both"/>
      </w:pPr>
      <w:r>
        <w:t xml:space="preserve">C'est précisément pour répondre à ces insuffisances que le présent projet propose de développer </w:t>
      </w:r>
      <w:proofErr w:type="spellStart"/>
      <w:r>
        <w:t>CapAvenir</w:t>
      </w:r>
      <w:proofErr w:type="spellEnd"/>
      <w:r>
        <w:t xml:space="preserve"> CMR : une application web intelligente qui digitalise intégralement ce processus, depuis la saisie des notes trimestrielles et la passation guidée des tests psychotechniques, jusqu'à la production automatique d'une recommandation de série assortie d'un score de confiance, d'une détection des conflits de profil, et d'un dialogue assisté par un agent conversationnel à base d'intelligence artificielle.</w:t>
      </w:r>
    </w:p>
    <w:p w:rsidR="00186E32" w:rsidRDefault="00186E32">
      <w:pPr>
        <w:spacing w:before="60" w:after="60"/>
      </w:pPr>
    </w:p>
    <w:p w:rsidR="00186E32" w:rsidRDefault="006E36FA">
      <w:pPr>
        <w:pStyle w:val="Titre2"/>
      </w:pPr>
      <w:r>
        <w:t>1.4  Questions de recherche</w:t>
      </w:r>
    </w:p>
    <w:p w:rsidR="00186E32" w:rsidRDefault="006E36FA">
      <w:pPr>
        <w:pStyle w:val="Titre3"/>
      </w:pPr>
      <w:r>
        <w:t>1.4.1  Question générale de recherche</w:t>
      </w:r>
    </w:p>
    <w:p w:rsidR="00186E32" w:rsidRDefault="006E36FA">
      <w:pPr>
        <w:spacing w:before="120" w:after="120" w:line="360" w:lineRule="auto"/>
        <w:jc w:val="both"/>
      </w:pPr>
      <w:r>
        <w:lastRenderedPageBreak/>
        <w:t>Face aux insuffisances des dispositifs actuels d'orientation scolaire, la question centrale qui guide ce travail est la suivante : Comment concevoir et développer une application intelligente d'aide à l'orientation scolaire automatisée, capable de recommander de manière fiable et personnalisée à un élève de Troisième son orientation vers la Seconde C (scientifique) ou la Seconde A (littéraire), en croisant automatiquement ses moyennes trimestrielles dans les matières scientifiques et littéraires, ses scores aux cinq tests psychotechniques standardisés, ses centres d'intérêt, son projet professionnel et la situation économique de sa famille ?</w:t>
      </w:r>
    </w:p>
    <w:p w:rsidR="00186E32" w:rsidRDefault="006E36FA">
      <w:pPr>
        <w:pStyle w:val="Titre3"/>
      </w:pPr>
      <w:r>
        <w:t>1.4.2  Questions spécifiques de recherche</w:t>
      </w:r>
    </w:p>
    <w:p w:rsidR="00186E32" w:rsidRDefault="006E36FA">
      <w:pPr>
        <w:spacing w:before="120" w:after="120" w:line="360" w:lineRule="auto"/>
        <w:jc w:val="both"/>
      </w:pPr>
      <w:r>
        <w:t>Cette question centrale se décline en trois interrogations spécifiques :</w:t>
      </w:r>
    </w:p>
    <w:p w:rsidR="00186E32" w:rsidRDefault="006E36FA">
      <w:pPr>
        <w:pStyle w:val="Paragraphedeliste"/>
        <w:numPr>
          <w:ilvl w:val="0"/>
          <w:numId w:val="2"/>
        </w:numPr>
        <w:spacing w:before="100" w:after="80" w:line="360" w:lineRule="auto"/>
      </w:pPr>
      <w:r>
        <w:t>Quelles sont les données indispensables — notes trimestrielles, scores psychotechniques, centres d'intérêt et revenus parentaux — à collecter pour permettre une orientation scolaire fiable et évolutive de la Troisième vers la Seconde, et comment les structurer dans une plateforme numérique ?</w:t>
      </w:r>
    </w:p>
    <w:p w:rsidR="00186E32" w:rsidRDefault="006E36FA">
      <w:pPr>
        <w:pStyle w:val="Paragraphedeliste"/>
        <w:numPr>
          <w:ilvl w:val="0"/>
          <w:numId w:val="2"/>
        </w:numPr>
        <w:spacing w:before="100" w:after="80" w:line="360" w:lineRule="auto"/>
      </w:pPr>
      <w:r>
        <w:t>Comment modéliser un moteur d'inférence à règles et un agent conversationnel à base d'intelligence artificielle capables de croiser ces données, de calculer un score d'aptitude scientifique (SA) et un score d'aptitude littéraire (LA), d'émettre une recommandation de série assortie d'un score de confiance, et de gérer les situations de conflits entre profil objectif et souhait de l'élève ?</w:t>
      </w:r>
    </w:p>
    <w:p w:rsidR="00186E32" w:rsidRDefault="006E36FA">
      <w:pPr>
        <w:pStyle w:val="Paragraphedeliste"/>
        <w:numPr>
          <w:ilvl w:val="0"/>
          <w:numId w:val="2"/>
        </w:numPr>
        <w:spacing w:before="100" w:after="80" w:line="360" w:lineRule="auto"/>
      </w:pPr>
      <w:r>
        <w:t>Quels indicateurs et quelle démarche permettent d'évaluer la pertinence, la fiabilité et l'acceptabilité d'un tel système par les élèves, les parents et les conseillers d'orientation, dans le contexte éducatif camerounais ?</w:t>
      </w:r>
    </w:p>
    <w:p w:rsidR="00186E32" w:rsidRDefault="00186E32">
      <w:pPr>
        <w:spacing w:before="60" w:after="60"/>
      </w:pPr>
    </w:p>
    <w:p w:rsidR="00186E32" w:rsidRDefault="006E36FA">
      <w:pPr>
        <w:pStyle w:val="Titre2"/>
      </w:pPr>
      <w:r>
        <w:t>1.5  Objectifs de recherche</w:t>
      </w:r>
    </w:p>
    <w:p w:rsidR="00186E32" w:rsidRDefault="006E36FA">
      <w:pPr>
        <w:pStyle w:val="Titre3"/>
      </w:pPr>
      <w:r>
        <w:t>1.5.1  Objectif général de recherche</w:t>
      </w:r>
    </w:p>
    <w:p w:rsidR="00186E32" w:rsidRDefault="006E36FA">
      <w:pPr>
        <w:spacing w:before="120" w:after="120" w:line="360" w:lineRule="auto"/>
        <w:jc w:val="both"/>
      </w:pPr>
      <w:r>
        <w:t xml:space="preserve">L'objectif général de ce travail est de concevoir et de développer </w:t>
      </w:r>
      <w:proofErr w:type="spellStart"/>
      <w:r>
        <w:t>CapAvenir</w:t>
      </w:r>
      <w:proofErr w:type="spellEnd"/>
      <w:r>
        <w:t xml:space="preserve"> CMR, une application web intelligente d'aide à l'orientation scolaire automatisée, destinée à assister les élèves de Troisième, leurs parents et les conseillers d'orientation dans la prise de décision relative au choix entre la Seconde C (scientifique) et la Seconde A (littéraire), en s'appuyant sur une analyse croisée et automatisée des performances scolaires, des aptitudes cognitives, des centres d'intérêt et du contexte socio-économique familial.</w:t>
      </w:r>
    </w:p>
    <w:p w:rsidR="00186E32" w:rsidRDefault="006E36FA">
      <w:pPr>
        <w:pStyle w:val="Titre3"/>
      </w:pPr>
      <w:r>
        <w:lastRenderedPageBreak/>
        <w:t>1.5.2  Objectifs spécifiques de recherche</w:t>
      </w:r>
    </w:p>
    <w:p w:rsidR="00186E32" w:rsidRDefault="006E36FA">
      <w:pPr>
        <w:spacing w:before="120" w:after="120" w:line="360" w:lineRule="auto"/>
        <w:jc w:val="both"/>
      </w:pPr>
      <w:r>
        <w:t>L'atteinte de cet objectif général passe par les trois objectifs spécifiques ci-dessous :</w:t>
      </w:r>
    </w:p>
    <w:p w:rsidR="00186E32" w:rsidRDefault="006E36FA">
      <w:pPr>
        <w:pStyle w:val="Paragraphedeliste"/>
        <w:numPr>
          <w:ilvl w:val="0"/>
          <w:numId w:val="2"/>
        </w:numPr>
        <w:spacing w:before="100" w:after="80" w:line="360" w:lineRule="auto"/>
      </w:pPr>
      <w:r>
        <w:t>Permettre la saisie multi-trimestrielle (T1, T2, T3) des notes de l'élève dans les matières scientifiques — Mathématiques, Sciences Physiques, Sciences de la Vie et de la Terre — et dans les matières littéraires — Français, Histoire-Géographie, Anglais — afin de calculer automatiquement les moyennes par filière et d'observer la progression de l'élève au fil de l'année.</w:t>
      </w:r>
    </w:p>
    <w:p w:rsidR="00186E32" w:rsidRDefault="006E36FA">
      <w:pPr>
        <w:pStyle w:val="Paragraphedeliste"/>
        <w:numPr>
          <w:ilvl w:val="0"/>
          <w:numId w:val="2"/>
        </w:numPr>
        <w:spacing w:before="100" w:after="80" w:line="360" w:lineRule="auto"/>
      </w:pPr>
      <w:r>
        <w:t>Intégrer une banque de cent quatre-vingt-douze questions réparties en cinq tests psychotechniques standardisés (D48, KRX, MECA, BV11, PRC), proposés en mode de passation guidée ou de saisie directe par le conseiller, et calculer automatiquement les scores bruts et étalonnés pour en déduire le Score d'Aptitude Scientifique (SA) et le Score d'Aptitude Littéraire (LA) de l'élève.</w:t>
      </w:r>
    </w:p>
    <w:p w:rsidR="00186E32" w:rsidRDefault="006E36FA">
      <w:pPr>
        <w:pStyle w:val="Paragraphedeliste"/>
        <w:numPr>
          <w:ilvl w:val="0"/>
          <w:numId w:val="2"/>
        </w:numPr>
        <w:spacing w:before="100" w:after="80" w:line="360" w:lineRule="auto"/>
      </w:pPr>
      <w:r>
        <w:t>Implémenter un moteur d'inférence à règles capable de produire une recommandation de série (C ou A) avec un score de confiance en pourcentage, de détecter les situations de conflit entre profil objectif et souhait de série, d'intégrer l'impact du contexte socio-économique familial, et de déclencher un agent conversationnel à base d'intelligence artificielle pour dialoguer avec l'élève en cas de profil ambigu ou conflictuel.</w:t>
      </w:r>
    </w:p>
    <w:p w:rsidR="00186E32" w:rsidRDefault="00186E32">
      <w:pPr>
        <w:spacing w:before="60" w:after="60"/>
      </w:pPr>
    </w:p>
    <w:p w:rsidR="00186E32" w:rsidRDefault="006E36FA">
      <w:pPr>
        <w:pStyle w:val="Titre2"/>
      </w:pPr>
      <w:r>
        <w:t>1.6  Zone de l'étude</w:t>
      </w:r>
    </w:p>
    <w:p w:rsidR="00186E32" w:rsidRDefault="006E36FA">
      <w:pPr>
        <w:spacing w:before="120" w:after="120" w:line="360" w:lineRule="auto"/>
        <w:jc w:val="both"/>
      </w:pPr>
      <w:r>
        <w:t>La présente étude est conduite au Cameroun, dans la région du Centre, au se</w:t>
      </w:r>
      <w:r w:rsidR="009D7F20">
        <w:t xml:space="preserve">in du Lycée Bilingue de </w:t>
      </w:r>
      <w:proofErr w:type="spellStart"/>
      <w:r w:rsidR="009D7F20">
        <w:t>Mendong</w:t>
      </w:r>
      <w:proofErr w:type="spellEnd"/>
      <w:r>
        <w:t xml:space="preserve"> situé dans la ville de Yaoundé. Ce choix se justifie par plusieurs raisons. D'abord, cet établissement accueille des élèves issus de milieux socio-économiques variés — reflétant ainsi la diversité des profils familiaux que l'application doit être capable de prendre en compte. Ensuite, sa structure bilingue, qui mêle les systèmes francophone et anglophone, en fait un terrain d'étude représentatif des spécificités du système éducatif camerounais. Enfin, la présence d'élèves de Troisième en phase active d'orientation vers la Seconde en fait le cadre idéal pour tester et valider les fonctionnalités de </w:t>
      </w:r>
      <w:proofErr w:type="spellStart"/>
      <w:r>
        <w:t>CapAvenir</w:t>
      </w:r>
      <w:proofErr w:type="spellEnd"/>
      <w:r>
        <w:t xml:space="preserve"> CMR. Les questionnaires ont été distribués aux élèves de Troisième et aux enseignants de toutes les matières concernées, tandis que les entretiens ont ciblé les conseillers d'orientation et les parents d'élèves.</w:t>
      </w:r>
    </w:p>
    <w:p w:rsidR="00186E32" w:rsidRDefault="00186E32">
      <w:pPr>
        <w:spacing w:before="60" w:after="60"/>
      </w:pPr>
    </w:p>
    <w:p w:rsidR="00186E32" w:rsidRDefault="006E36FA">
      <w:pPr>
        <w:pStyle w:val="Titre2"/>
      </w:pPr>
      <w:r>
        <w:lastRenderedPageBreak/>
        <w:t>1.7  Importance de l'étude</w:t>
      </w:r>
    </w:p>
    <w:p w:rsidR="00186E32" w:rsidRDefault="006E36FA">
      <w:pPr>
        <w:spacing w:before="120" w:after="120" w:line="360" w:lineRule="auto"/>
        <w:jc w:val="both"/>
      </w:pPr>
      <w:r>
        <w:t>Ce travail revêt une importance à plusieurs niveaux — social, pédagogique, technologique et institutionnel — qui justifient pleinement son inscription dans le cadre d'un mémoire de fin de cycle à l'École Normale Supérieure.</w:t>
      </w:r>
    </w:p>
    <w:p w:rsidR="00186E32" w:rsidRDefault="006E36FA">
      <w:pPr>
        <w:spacing w:before="120" w:after="120" w:line="360" w:lineRule="auto"/>
        <w:jc w:val="both"/>
      </w:pPr>
      <w:r>
        <w:t xml:space="preserve">Sur le plan social, </w:t>
      </w:r>
      <w:proofErr w:type="spellStart"/>
      <w:r>
        <w:t>CapAvenir</w:t>
      </w:r>
      <w:proofErr w:type="spellEnd"/>
      <w:r>
        <w:t xml:space="preserve"> CMR contribue à démocratiser l'accès à une orientation scolaire de qualité. Aujourd'hui, les élèves scolarisés dans des établissements dépourvus de conseillers d'orientation — situation très fréquente en milieu rural ou dans les lycées </w:t>
      </w:r>
      <w:proofErr w:type="spellStart"/>
      <w:r>
        <w:t>sous-dotés</w:t>
      </w:r>
      <w:proofErr w:type="spellEnd"/>
      <w:r>
        <w:t xml:space="preserve"> — n'ont aucun accès à une analyse objective de leur profil. Une application numérique accessible depuis un simple navigateur web change radicalement cette réalité en mettant le processus d'orientation à la portée de tous, quel que soit le lieu </w:t>
      </w:r>
      <w:proofErr w:type="spellStart"/>
      <w:r>
        <w:t>ou</w:t>
      </w:r>
      <w:proofErr w:type="spellEnd"/>
      <w:r>
        <w:t xml:space="preserve"> le niveau de ressources de l'établissement.</w:t>
      </w:r>
    </w:p>
    <w:p w:rsidR="00186E32" w:rsidRDefault="006E36FA">
      <w:pPr>
        <w:spacing w:before="120" w:after="120" w:line="360" w:lineRule="auto"/>
        <w:jc w:val="both"/>
      </w:pPr>
      <w:r>
        <w:t>Sur le plan pédagogique, en objectivant les décisions d'orientation, l'application réduit mécaniquement le nombre de mauvaises orientations, qui constituent aujourd'hui l'une des causes majeures d'échec scolaire, de redoublement et d'abandon en classe de Seconde. En prenant en compte non seulement les notes du seul premier trimestre — comme c'est souvent le cas dans la pratique — mais bien l'évolution sur les trois trimestres de l'année, l'application offre une image bien plus fidèle et dynamique des capacités réelles de l'élève. De plus, la gestion automatisée des situations de conflit — un élève aux aptitudes scientifiques dominantes qui souhaite une série littéraire, ou inversement — permet d'engager avec lui un dialogue structuré et personnalisé grâce à l'agent conversationnel à intelligence artificielle, au lieu de simplement imposer une décision.</w:t>
      </w:r>
    </w:p>
    <w:p w:rsidR="00186E32" w:rsidRDefault="006E36FA">
      <w:pPr>
        <w:spacing w:before="120" w:after="120" w:line="360" w:lineRule="auto"/>
        <w:jc w:val="both"/>
      </w:pPr>
      <w:r>
        <w:t>Sur le plan technologique, ce projet illustre de façon concrète et opérationnelle la manière dont les outils d'intelligence artificielle peuvent être mis au service de l'éducation en Afrique subsaharienne. Il démontre que des solutions performantes et adaptées aux réalités locales peuvent être développées avec des technologies ouvertes et accessibles, ouvrant ainsi la voie à de futures applications similaires dans d'autres contextes éducatifs africains.</w:t>
      </w:r>
    </w:p>
    <w:p w:rsidR="00186E32" w:rsidRDefault="006E36FA">
      <w:pPr>
        <w:spacing w:before="120" w:after="120" w:line="360" w:lineRule="auto"/>
        <w:jc w:val="both"/>
      </w:pPr>
      <w:r>
        <w:t xml:space="preserve">Sur le plan institutionnel enfin, </w:t>
      </w:r>
      <w:proofErr w:type="spellStart"/>
      <w:r>
        <w:t>CapAvenir</w:t>
      </w:r>
      <w:proofErr w:type="spellEnd"/>
      <w:r>
        <w:t xml:space="preserve"> CMR génère automatiquement une fiche d'orientation officielle au format PDF, comprenant l'ensemble des données de l'élève, ses scores bruts et étalonnés, la série recommandée, le score de confiance, le statut de l'orientation et la synthèse de l'entretien IA. Ce document peut être directement intégré dans les dossiers administratifs des établissements scolaires et des services d'orientation, contribuant ainsi à la standardisation et à la traçabilité des décisions d'orientation.</w:t>
      </w:r>
    </w:p>
    <w:p w:rsidR="00186E32" w:rsidRDefault="00186E32">
      <w:pPr>
        <w:spacing w:before="60" w:after="60"/>
      </w:pPr>
    </w:p>
    <w:p w:rsidR="00186E32" w:rsidRDefault="006E36FA">
      <w:pPr>
        <w:pStyle w:val="Titre2"/>
      </w:pPr>
      <w:r>
        <w:t>1.8  Définitions des concepts</w:t>
      </w:r>
    </w:p>
    <w:p w:rsidR="00186E32" w:rsidRDefault="006E36FA">
      <w:pPr>
        <w:spacing w:before="120" w:after="120" w:line="360" w:lineRule="auto"/>
        <w:jc w:val="both"/>
      </w:pPr>
      <w:r>
        <w:t>Afin de clarifier notre démarche et de lever toute ambiguïté terminologique, les concepts fondamentaux mobilisés dans ce travail sont définis ci-dessous.</w:t>
      </w:r>
    </w:p>
    <w:p w:rsidR="00186E32" w:rsidRDefault="006E36FA">
      <w:pPr>
        <w:pStyle w:val="Paragraphedeliste"/>
        <w:numPr>
          <w:ilvl w:val="0"/>
          <w:numId w:val="2"/>
        </w:numPr>
        <w:spacing w:before="100" w:after="80" w:line="360" w:lineRule="auto"/>
      </w:pPr>
      <w:r>
        <w:rPr>
          <w:b/>
          <w:bCs/>
        </w:rPr>
        <w:t xml:space="preserve">Application intelligente : </w:t>
      </w:r>
      <w:r>
        <w:t xml:space="preserve">Système informatique intégrant des mécanismes d'intelligence artificielle — moteurs d'inférence à règles, modèles d'apprentissage automatique ou agents conversationnels — qui lui confèrent la capacité d'analyser des données hétérogènes, de raisonner sur la base de règles prédéfinies ou apprises, et de formuler des recommandations ou des décisions personnalisées sans intervention humaine permanente. </w:t>
      </w:r>
      <w:proofErr w:type="spellStart"/>
      <w:r>
        <w:t>CapAvenir</w:t>
      </w:r>
      <w:proofErr w:type="spellEnd"/>
      <w:r>
        <w:t xml:space="preserve"> CMR est une application de ce type : elle combine un moteur d'inférence logique et un agent conversationnel alimenté par un grand modèle de langage pour produire des orientations automatisées.</w:t>
      </w:r>
    </w:p>
    <w:p w:rsidR="00186E32" w:rsidRDefault="006E36FA">
      <w:pPr>
        <w:pStyle w:val="Paragraphedeliste"/>
        <w:numPr>
          <w:ilvl w:val="0"/>
          <w:numId w:val="2"/>
        </w:numPr>
        <w:spacing w:before="100" w:after="80" w:line="360" w:lineRule="auto"/>
      </w:pPr>
      <w:r>
        <w:rPr>
          <w:b/>
          <w:bCs/>
        </w:rPr>
        <w:t xml:space="preserve">Orientation scolaire : </w:t>
      </w:r>
      <w:r>
        <w:t>Processus institutionnel et individuel d'accompagnement visant à aider un élève à identifier ses aptitudes cognitives, ses centres d'intérêt et ses aspirations professionnelles, afin de le guider vers une filière d'enseignement correspondant à la fois à son profil et aux possibilités offertes par le système éducatif et le marché du travail. Dans le cadre de ce travail, l'orientation scolaire désigne plus spécifiquement le choix entre la Série C (scientifique) et la Série A (littéraire) pour la classe de Seconde.</w:t>
      </w:r>
    </w:p>
    <w:p w:rsidR="00186E32" w:rsidRDefault="006E36FA">
      <w:pPr>
        <w:pStyle w:val="Paragraphedeliste"/>
        <w:numPr>
          <w:ilvl w:val="0"/>
          <w:numId w:val="2"/>
        </w:numPr>
        <w:spacing w:before="100" w:after="80" w:line="360" w:lineRule="auto"/>
      </w:pPr>
      <w:r>
        <w:rPr>
          <w:b/>
          <w:bCs/>
        </w:rPr>
        <w:t xml:space="preserve">Tests psychotechniques : </w:t>
      </w:r>
      <w:r>
        <w:t xml:space="preserve">Épreuves standardisées, construites et validées scientifiquement, qui permettent de mesurer de manière objective différentes aptitudes cognitives d'un individu. Dans </w:t>
      </w:r>
      <w:proofErr w:type="spellStart"/>
      <w:r>
        <w:t>CapAvenir</w:t>
      </w:r>
      <w:proofErr w:type="spellEnd"/>
      <w:r>
        <w:t xml:space="preserve"> CMR, cinq tests sont utilisés : le D48 (raisonnement logico-abstrait, 40 items), le KRX (aptitude mathématique et suites numériques, 20 items), le MECA (compréhension mécanique et physique, 36 items), le BV11 (aptitude littéraire, synonymes et figures de style, 56 items) et le PRC (compréhension linguistique et raisonnement, 40 items) — soit une banque totale de cent quatre-vingt-douze questions.</w:t>
      </w:r>
    </w:p>
    <w:p w:rsidR="00186E32" w:rsidRDefault="006E36FA">
      <w:pPr>
        <w:pStyle w:val="Paragraphedeliste"/>
        <w:numPr>
          <w:ilvl w:val="0"/>
          <w:numId w:val="2"/>
        </w:numPr>
        <w:spacing w:before="100" w:after="80" w:line="360" w:lineRule="auto"/>
      </w:pPr>
      <w:r>
        <w:rPr>
          <w:b/>
          <w:bCs/>
        </w:rPr>
        <w:t xml:space="preserve">Score d'Aptitude Scientifique (SA) et Score d'Aptitude Littéraire (LA) : </w:t>
      </w:r>
      <w:r>
        <w:t xml:space="preserve">Deux indices synthétiques calculés automatiquement par l'application à partir des scores étalonnés aux tests psychotechniques. Le SA est la moyenne des scores étalonnés du D48 et du KRX, et mesure la prédisposition de l'élève pour les disciplines scientifiques. Le LA est la moyenne des scores étalonnés du BV11 et du PRC, et </w:t>
      </w:r>
      <w:r>
        <w:lastRenderedPageBreak/>
        <w:t>mesure sa prédisposition pour les disciplines littéraires. Ces deux indices constituent les piliers du moteur de recommandation.</w:t>
      </w:r>
    </w:p>
    <w:p w:rsidR="00186E32" w:rsidRDefault="006E36FA">
      <w:pPr>
        <w:pStyle w:val="Paragraphedeliste"/>
        <w:numPr>
          <w:ilvl w:val="0"/>
          <w:numId w:val="2"/>
        </w:numPr>
        <w:spacing w:before="100" w:after="80" w:line="360" w:lineRule="auto"/>
      </w:pPr>
      <w:r>
        <w:rPr>
          <w:b/>
          <w:bCs/>
        </w:rPr>
        <w:t xml:space="preserve">Moteur d'inférence à règles : </w:t>
      </w:r>
      <w:r>
        <w:t xml:space="preserve">Composant logiciel qui, à partir d'un ensemble de règles formalisées et des données de l'élève, détermine automatiquement une recommandation d'orientation. Dans </w:t>
      </w:r>
      <w:proofErr w:type="spellStart"/>
      <w:r>
        <w:t>CapAvenir</w:t>
      </w:r>
      <w:proofErr w:type="spellEnd"/>
      <w:r>
        <w:t xml:space="preserve"> CMR, ce moteur opère à trois niveaux correspondant aux données disponibles (T1 seul, T1 + T2, ou T1 + T2 + T3) et produit cinq statuts possibles : Confirmé, En Attente, Probation, Révisé Définitivement, ou Indéterminé — assorti dans tous les cas d'un score de confiance exprimé en pourcentage.</w:t>
      </w:r>
    </w:p>
    <w:p w:rsidR="00186E32" w:rsidRDefault="006E36FA">
      <w:pPr>
        <w:pStyle w:val="Paragraphedeliste"/>
        <w:numPr>
          <w:ilvl w:val="0"/>
          <w:numId w:val="2"/>
        </w:numPr>
        <w:spacing w:before="100" w:after="80" w:line="360" w:lineRule="auto"/>
      </w:pPr>
      <w:r>
        <w:rPr>
          <w:b/>
          <w:bCs/>
        </w:rPr>
        <w:t xml:space="preserve">Étalonnage : </w:t>
      </w:r>
      <w:r>
        <w:t xml:space="preserve">Procédure de transformation d'un score brut obtenu à un test psychotechnique en un score normalisé, dit </w:t>
      </w:r>
      <w:proofErr w:type="spellStart"/>
      <w:r>
        <w:t>étalonnéé</w:t>
      </w:r>
      <w:proofErr w:type="spellEnd"/>
      <w:r>
        <w:t xml:space="preserve">, qui permet de situer la performance de l'élève par rapport à une population de référence. L'étalonnage corrige les variations de difficulté entre les tests et rend les scores comparables entre eux. Dans </w:t>
      </w:r>
      <w:proofErr w:type="spellStart"/>
      <w:r>
        <w:t>CapAvenir</w:t>
      </w:r>
      <w:proofErr w:type="spellEnd"/>
      <w:r>
        <w:t xml:space="preserve"> CMR, la fonction d'étalonnage est appliquée automatiquement à chacun des cinq tests.</w:t>
      </w:r>
    </w:p>
    <w:p w:rsidR="00186E32" w:rsidRDefault="006E36FA">
      <w:pPr>
        <w:pStyle w:val="Paragraphedeliste"/>
        <w:numPr>
          <w:ilvl w:val="0"/>
          <w:numId w:val="2"/>
        </w:numPr>
        <w:spacing w:before="100" w:after="80" w:line="360" w:lineRule="auto"/>
      </w:pPr>
      <w:r>
        <w:rPr>
          <w:b/>
          <w:bCs/>
        </w:rPr>
        <w:t xml:space="preserve">Agent conversationnel IA : </w:t>
      </w:r>
      <w:r>
        <w:t xml:space="preserve">Module logiciel capable de mener un dialogue en langage naturel avec un utilisateur, en générant des réponses contextualisées fondées sur une analyse du contenu des messages échangés. Dans </w:t>
      </w:r>
      <w:proofErr w:type="spellStart"/>
      <w:r>
        <w:t>CapAvenir</w:t>
      </w:r>
      <w:proofErr w:type="spellEnd"/>
      <w:r>
        <w:t xml:space="preserve"> CMR, cet agent se déclenche automatiquement en cas de conflit détecté entre le profil objectif de l'élève et la série qu'il souhaite rejoindre. Lorsqu'une clé d'API </w:t>
      </w:r>
      <w:proofErr w:type="spellStart"/>
      <w:r>
        <w:t>Anthropic</w:t>
      </w:r>
      <w:proofErr w:type="spellEnd"/>
      <w:r>
        <w:t xml:space="preserve"> est disponible, il s'appuie sur le modèle Claude (</w:t>
      </w:r>
      <w:proofErr w:type="spellStart"/>
      <w:r>
        <w:t>claude</w:t>
      </w:r>
      <w:proofErr w:type="spellEnd"/>
      <w:r>
        <w:t>-sonnet) ; en mode hors-ligne, il utilise des réponses simulées localement.</w:t>
      </w:r>
    </w:p>
    <w:p w:rsidR="00186E32" w:rsidRDefault="006E36FA">
      <w:pPr>
        <w:pStyle w:val="Paragraphedeliste"/>
        <w:numPr>
          <w:ilvl w:val="0"/>
          <w:numId w:val="2"/>
        </w:numPr>
        <w:spacing w:before="100" w:after="80" w:line="360" w:lineRule="auto"/>
      </w:pPr>
      <w:r>
        <w:rPr>
          <w:b/>
          <w:bCs/>
        </w:rPr>
        <w:t xml:space="preserve">Contexte socio-économique familial : </w:t>
      </w:r>
      <w:r>
        <w:t>Ensemble des caractéristiques économiques et sociales de la famille de l'élève, résumé ici par le revenu mensuel des parents (faible, moyen, élevé exprimé en FCFA). Ce paramètre est intégré dans le moteur de recommandation car il conditionne directement l'accessibilité de certaines filières longues ou coûteuses. Par exemple, un profil scientifique avéré associé à un revenu familial faible déclenchera une alerte sur les coûts des études supérieures scientifiques et une information sur les dispositifs de bourses disponibles.</w:t>
      </w:r>
    </w:p>
    <w:p w:rsidR="00186E32" w:rsidRDefault="00186E32">
      <w:pPr>
        <w:spacing w:before="60" w:after="60"/>
      </w:pPr>
    </w:p>
    <w:p w:rsidR="00186E32" w:rsidRDefault="006E36FA">
      <w:pPr>
        <w:pStyle w:val="Titre2"/>
      </w:pPr>
      <w:r>
        <w:t>1.9  Plan du mémoire</w:t>
      </w:r>
    </w:p>
    <w:p w:rsidR="00186E32" w:rsidRDefault="006E36FA">
      <w:pPr>
        <w:spacing w:before="120" w:after="120" w:line="360" w:lineRule="auto"/>
        <w:jc w:val="both"/>
      </w:pPr>
      <w:r>
        <w:t>Ce mémoire s'organise autour de quatre chapitres principaux, articulés comme suit :</w:t>
      </w:r>
    </w:p>
    <w:p w:rsidR="00186E32" w:rsidRDefault="006E36FA">
      <w:pPr>
        <w:pStyle w:val="Paragraphedeliste"/>
        <w:numPr>
          <w:ilvl w:val="0"/>
          <w:numId w:val="2"/>
        </w:numPr>
        <w:spacing w:before="100" w:after="80" w:line="360" w:lineRule="auto"/>
      </w:pPr>
      <w:r>
        <w:rPr>
          <w:b/>
          <w:bCs/>
        </w:rPr>
        <w:lastRenderedPageBreak/>
        <w:t xml:space="preserve">Chapitre 2 — Revue de la littérature : </w:t>
      </w:r>
      <w:r>
        <w:t xml:space="preserve">Ce chapitre passe en revue les travaux scientifiques et techniques portant sur l'orientation scolaire, les tests psychotechniques, les systèmes de recommandation à base de règles, les agents conversationnels à intelligence artificielle et les méthodes de développement logiciel agile. Il analyse les solutions numériques existantes dans d'autres contextes — notamment en Europe et en Afrique — afin d'identifier leurs forces, leurs limites et les lacunes que </w:t>
      </w:r>
      <w:proofErr w:type="spellStart"/>
      <w:r>
        <w:t>CapAvenir</w:t>
      </w:r>
      <w:proofErr w:type="spellEnd"/>
      <w:r>
        <w:t xml:space="preserve"> CMR se propose de combler. Il présente enfin le cadre conceptuel et les choix méthodologiques retenus pour ce travail.</w:t>
      </w:r>
    </w:p>
    <w:p w:rsidR="00186E32" w:rsidRDefault="006E36FA">
      <w:pPr>
        <w:pStyle w:val="Paragraphedeliste"/>
        <w:numPr>
          <w:ilvl w:val="0"/>
          <w:numId w:val="2"/>
        </w:numPr>
        <w:spacing w:before="100" w:after="80" w:line="360" w:lineRule="auto"/>
      </w:pPr>
      <w:r>
        <w:rPr>
          <w:b/>
          <w:bCs/>
        </w:rPr>
        <w:t xml:space="preserve">Chapitre 3 — Matériels et méthodes : </w:t>
      </w:r>
      <w:r>
        <w:t xml:space="preserve">Ce chapitre décrit l'ensemble de la démarche méthodologique adoptée : le modèle de recherche, les techniques de collecte de données (questionnaires auprès des élèves et des enseignants, entretiens avec les conseillers d'orientation), la population d'étude et les procédures d'échantillonnage. Il présente également les ressources matérielles et logicielles mobilisées pour le développement de l'application — </w:t>
      </w:r>
      <w:proofErr w:type="spellStart"/>
      <w:r>
        <w:t>Streamlit</w:t>
      </w:r>
      <w:proofErr w:type="spellEnd"/>
      <w:r>
        <w:t xml:space="preserve">, </w:t>
      </w:r>
      <w:proofErr w:type="spellStart"/>
      <w:r>
        <w:t>Plotly</w:t>
      </w:r>
      <w:proofErr w:type="spellEnd"/>
      <w:r>
        <w:t xml:space="preserve">, </w:t>
      </w:r>
      <w:proofErr w:type="spellStart"/>
      <w:r>
        <w:t>ReportLab</w:t>
      </w:r>
      <w:proofErr w:type="spellEnd"/>
      <w:r>
        <w:t xml:space="preserve">, l'API </w:t>
      </w:r>
      <w:proofErr w:type="spellStart"/>
      <w:r>
        <w:t>Anthropic</w:t>
      </w:r>
      <w:proofErr w:type="spellEnd"/>
      <w:r>
        <w:t xml:space="preserve"> Claude — et détaille la méthode d'ingénierie logicielle agile SCRUM utilisée pour structurer le développement en sprints successifs.</w:t>
      </w:r>
    </w:p>
    <w:p w:rsidR="00186E32" w:rsidRDefault="006E36FA">
      <w:pPr>
        <w:pStyle w:val="Paragraphedeliste"/>
        <w:numPr>
          <w:ilvl w:val="0"/>
          <w:numId w:val="2"/>
        </w:numPr>
        <w:spacing w:before="100" w:after="80" w:line="360" w:lineRule="auto"/>
      </w:pPr>
      <w:r>
        <w:rPr>
          <w:b/>
          <w:bCs/>
        </w:rPr>
        <w:t xml:space="preserve">Chapitre 4 — Résultats et discussions : </w:t>
      </w:r>
      <w:r>
        <w:t>Ce chapitre présente les résultats obtenus à chaque phase du cycle de développement : analyse des besoins, conception de l'architecture en cinq étapes (Profil, Notes, Tests, Diagnostic, Fiche), implémentation du moteur d'inférence, intégration de l'agent conversationnel IA et génération de la fiche PDF officielle. Il discute de la pertinence des résultats au regard des hypothèses formulées, des implications pédagogiques et institutionnelles de l'application, et des retours recueillis lors des phases d'évaluation utilisateur.</w:t>
      </w:r>
    </w:p>
    <w:p w:rsidR="00186E32" w:rsidRDefault="006E36FA">
      <w:pPr>
        <w:spacing w:before="120" w:after="120" w:line="360" w:lineRule="auto"/>
        <w:jc w:val="both"/>
      </w:pPr>
      <w:r>
        <w:t xml:space="preserve">Ces chapitres sont complétés par une conclusion générale exposant les apports du travail et ses limites, des perspectives d'évolution de </w:t>
      </w:r>
      <w:proofErr w:type="spellStart"/>
      <w:r>
        <w:t>CapAvenir</w:t>
      </w:r>
      <w:proofErr w:type="spellEnd"/>
      <w:r>
        <w:t xml:space="preserve"> CMR — notamment le développement d'une application mobile native et l'intégration d'un module complet de gestion des notes pour les enseignants —, une liste des références bibliographiques, et des annexes comprenant les questionnaires d'enquête, les guides d'entretien et le manuel d'utilisation de la plateforme.</w:t>
      </w:r>
    </w:p>
    <w:p w:rsidR="00186E32" w:rsidRDefault="00186E32">
      <w:pPr>
        <w:spacing w:before="60" w:after="60"/>
      </w:pPr>
    </w:p>
    <w:p w:rsidR="00167DA9" w:rsidRDefault="00167DA9">
      <w:pPr>
        <w:pStyle w:val="Titre2"/>
      </w:pPr>
    </w:p>
    <w:p w:rsidR="00167DA9" w:rsidRDefault="00167DA9">
      <w:pPr>
        <w:pStyle w:val="Titre2"/>
      </w:pPr>
    </w:p>
    <w:p w:rsidR="00167DA9" w:rsidRDefault="00167DA9">
      <w:pPr>
        <w:pStyle w:val="Titre2"/>
      </w:pPr>
    </w:p>
    <w:p w:rsidR="00186E32" w:rsidRDefault="006E36FA">
      <w:pPr>
        <w:pStyle w:val="Titre2"/>
      </w:pPr>
      <w:r>
        <w:t>Conclusion</w:t>
      </w:r>
    </w:p>
    <w:p w:rsidR="00186E32" w:rsidRDefault="006E36FA">
      <w:pPr>
        <w:spacing w:before="120" w:after="120" w:line="360" w:lineRule="auto"/>
        <w:jc w:val="both"/>
      </w:pPr>
      <w:r>
        <w:t>Ce premier chapitre a permis de poser les fondements essentiels de notre étude. Le constat est clair : la transition de la Troisième vers la Seconde au Cameroun est un moment décisif qui souffre d'un manque criant d'outils objectifs, automatisés et accessibles à tous. Les élèves qui bénéficient d'un accompagnement de qualité — reposant sur un traitement complet de leurs notes trimestrielles, de leurs aptitudes psychotechniques, de leurs centres d'intérêt et de leur contexte familial — ont des chances bien meilleures de s'engager dans une série qui correspond réellement à leur profil. Ceux qui en sont privés s'exposent à des orientations inadaptées aux conséquences souvent irréversibles sur leur parcours académique et professionnel.</w:t>
      </w:r>
    </w:p>
    <w:p w:rsidR="00186E32" w:rsidRDefault="006E36FA">
      <w:pPr>
        <w:spacing w:before="120" w:after="120" w:line="360" w:lineRule="auto"/>
        <w:jc w:val="both"/>
      </w:pPr>
      <w:proofErr w:type="spellStart"/>
      <w:r>
        <w:t>CapAvenir</w:t>
      </w:r>
      <w:proofErr w:type="spellEnd"/>
      <w:r>
        <w:t xml:space="preserve"> CMR se propose de changer cette réalité en mettant à la disposition de tous les acteurs du processus d'orientation — élèves, parents, enseignants et conseillers d'orientation — un outil numérique intelligent, fiable et ergonomique, qui digitalise l'intégralité du processus : de la passation des cinq tests psychotechniques à la génération automatique d'une fiche officielle d'orientation, en passant par l'analyse multi-trimestrielle des notes et le dialogue personnalisé avec un agent conversationnel à intelligence artificielle. La problématique, les questions et les objectifs de recherche formalisés dans ce chapitre guideront l'ensemble de la démarche exposée dans les chapitres suivants.</w:t>
      </w: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167DA9" w:rsidRDefault="00167DA9">
      <w:pPr>
        <w:spacing w:before="120" w:after="120" w:line="360" w:lineRule="auto"/>
        <w:jc w:val="both"/>
      </w:pPr>
    </w:p>
    <w:p w:rsidR="00054E90" w:rsidRDefault="00054E90" w:rsidP="00054E90">
      <w:pPr>
        <w:spacing w:before="200" w:after="100"/>
        <w:jc w:val="center"/>
      </w:pPr>
      <w:r>
        <w:rPr>
          <w:rFonts w:ascii="Cambria Math" w:hAnsi="Cambria Math" w:cs="Cambria Math"/>
          <w:b/>
          <w:bCs/>
          <w:sz w:val="28"/>
          <w:szCs w:val="28"/>
        </w:rPr>
        <w:t>⋆</w:t>
      </w:r>
      <w:r>
        <w:rPr>
          <w:b/>
          <w:bCs/>
          <w:sz w:val="28"/>
          <w:szCs w:val="28"/>
        </w:rPr>
        <w:t xml:space="preserve"> </w:t>
      </w:r>
      <w:r>
        <w:rPr>
          <w:rFonts w:ascii="Cambria Math" w:hAnsi="Cambria Math" w:cs="Cambria Math"/>
          <w:b/>
          <w:bCs/>
          <w:sz w:val="28"/>
          <w:szCs w:val="28"/>
        </w:rPr>
        <w:t>⋆</w:t>
      </w:r>
      <w:r>
        <w:rPr>
          <w:b/>
          <w:bCs/>
          <w:sz w:val="28"/>
          <w:szCs w:val="28"/>
        </w:rPr>
        <w:t xml:space="preserve"> Chapitre Deux </w:t>
      </w:r>
      <w:r>
        <w:rPr>
          <w:rFonts w:ascii="Cambria Math" w:hAnsi="Cambria Math" w:cs="Cambria Math"/>
          <w:b/>
          <w:bCs/>
          <w:sz w:val="28"/>
          <w:szCs w:val="28"/>
        </w:rPr>
        <w:t>⋆</w:t>
      </w:r>
      <w:r>
        <w:rPr>
          <w:b/>
          <w:bCs/>
          <w:sz w:val="28"/>
          <w:szCs w:val="28"/>
        </w:rPr>
        <w:t xml:space="preserve"> </w:t>
      </w:r>
      <w:r>
        <w:rPr>
          <w:rFonts w:ascii="Cambria Math" w:hAnsi="Cambria Math" w:cs="Cambria Math"/>
          <w:b/>
          <w:bCs/>
          <w:sz w:val="28"/>
          <w:szCs w:val="28"/>
        </w:rPr>
        <w:t>⋆</w:t>
      </w:r>
    </w:p>
    <w:p w:rsidR="00054E90" w:rsidRDefault="00054E90" w:rsidP="00054E90">
      <w:pPr>
        <w:pStyle w:val="Titre1"/>
        <w:jc w:val="center"/>
      </w:pPr>
      <w:r>
        <w:t>Revue de la Littérature</w:t>
      </w:r>
    </w:p>
    <w:p w:rsidR="00054E90" w:rsidRDefault="00054E90" w:rsidP="00054E90">
      <w:pPr>
        <w:spacing w:before="80" w:after="80"/>
      </w:pPr>
    </w:p>
    <w:p w:rsidR="00054E90" w:rsidRDefault="00054E90" w:rsidP="00054E90">
      <w:pPr>
        <w:pStyle w:val="Titre2"/>
      </w:pPr>
      <w:r>
        <w:t>Introduction</w:t>
      </w:r>
    </w:p>
    <w:p w:rsidR="00054E90" w:rsidRDefault="00054E90" w:rsidP="00054E90">
      <w:pPr>
        <w:spacing w:before="120" w:after="120" w:line="360" w:lineRule="auto"/>
        <w:jc w:val="both"/>
      </w:pPr>
      <w:r>
        <w:t xml:space="preserve">L'orientation scolaire des élèves de Troisième vers le second cycle de l'enseignement secondaire est une problématique qui se situe au carrefour de plusieurs disciplines scientifiques : la psychométrie, la psychologie différentielle, les sciences de l'éducation et l'informatique. Avant de présenter la conception et le développement de </w:t>
      </w:r>
      <w:proofErr w:type="spellStart"/>
      <w:r>
        <w:t>CapAvenir</w:t>
      </w:r>
      <w:proofErr w:type="spellEnd"/>
      <w:r>
        <w:t xml:space="preserve"> CMR, il est indispensable d'explorer les travaux théoriques et empiriques qui fondent notre démarche. Ce chapitre s'articule autour de cinq volets complémentaires : une exploration de l'historique de l'orientation scolaire et de ses enjeux dans le contexte camerounais ; une analyse du rôle central des tests psychotechniques ; un état des lieux des plateformes numériques existantes et de leurs lacunes ; une présentation des modèles de développement logiciel applicables à notre projet ; une étude des principes ergonomiques des interfaces homme-machine dans les applications éducatives ; et enfin, la justification des choix méthodologiques et conceptuels retenus pour </w:t>
      </w:r>
      <w:proofErr w:type="spellStart"/>
      <w:r>
        <w:t>CapAvenir</w:t>
      </w:r>
      <w:proofErr w:type="spellEnd"/>
      <w:r>
        <w:t xml:space="preserve"> CMR.</w:t>
      </w:r>
    </w:p>
    <w:p w:rsidR="00054E90" w:rsidRDefault="00054E90" w:rsidP="00054E90">
      <w:pPr>
        <w:spacing w:before="80" w:after="80"/>
      </w:pPr>
    </w:p>
    <w:p w:rsidR="00054E90" w:rsidRDefault="00054E90" w:rsidP="00054E90">
      <w:pPr>
        <w:pStyle w:val="Titre2"/>
      </w:pPr>
      <w:r>
        <w:t>2.1  Historique de l'orientation scolaire</w:t>
      </w:r>
    </w:p>
    <w:p w:rsidR="00054E90" w:rsidRDefault="00054E90" w:rsidP="00054E90">
      <w:pPr>
        <w:spacing w:before="120" w:after="120" w:line="360" w:lineRule="auto"/>
        <w:jc w:val="both"/>
      </w:pPr>
      <w:r>
        <w:t xml:space="preserve">L'orientation scolaire, entendue comme l'ensemble des pratiques visant à aider un individu à choisir un parcours de formation en adéquation avec ses aptitudes et ses aspirations, est une discipline dont la formalisation scientifique remonte au début du XXe siècle. C'est à Frank Parsons que l'on doit la première théorisation d'une démarche d'orientation structurée. Dans son ouvrage publié à titre posthume en 1909, il pose les fondements d'un modèle en trois étapes : la connaissance approfondie de soi-même — aptitudes, intérêts, ressources et limites — ; la connaissance des exigences et des conditions de réussite des différentes voies de formation et de carrière ; et le raisonnement permettant de mettre ces deux ensembles en relation pour formuler un choix éclairé. Ce modèle, connu sous le nom d'approche « trait-and-factor », constitue encore aujourd'hui le socle théorique des pratiques d'orientation dans de nombreux pays (Guichard et </w:t>
      </w:r>
      <w:proofErr w:type="spellStart"/>
      <w:r>
        <w:t>Huteau</w:t>
      </w:r>
      <w:proofErr w:type="spellEnd"/>
      <w:r>
        <w:t>, 2006).</w:t>
      </w:r>
    </w:p>
    <w:p w:rsidR="00054E90" w:rsidRDefault="00054E90" w:rsidP="00054E90">
      <w:pPr>
        <w:spacing w:before="120" w:after="120" w:line="360" w:lineRule="auto"/>
        <w:jc w:val="both"/>
      </w:pPr>
      <w:r>
        <w:lastRenderedPageBreak/>
        <w:t xml:space="preserve">Les décennies suivantes ont vu se développer des outils permettant de mesurer objectivement les aptitudes individuelles, donnant ainsi à l'orientation une base scientifique plus solide. Les travaux de Binet et Simon dès 1905 sur la mesure de l'intelligence, puis le développement par Thurstone dans les années 1930 d'une théorie des aptitudes primaires — distinguant l'aptitude numérique, l'aptitude verbale, la mémoire, le raisonnement spatial et la vitesse perceptive — ont fourni les bases psychométriques sur lesquelles ont été construits les tests d'aptitude utilisés en orientation jusqu'à aujourd'hui (Carroll, 1993). Les cinq tests intégrés dans </w:t>
      </w:r>
      <w:proofErr w:type="spellStart"/>
      <w:r>
        <w:t>CapAvenir</w:t>
      </w:r>
      <w:proofErr w:type="spellEnd"/>
      <w:r>
        <w:t xml:space="preserve"> CMR — le D48, le KRX, le MECA, le BV11 et le PRC — s'inscrivent directement dans cette tradition scientifique.</w:t>
      </w:r>
    </w:p>
    <w:p w:rsidR="00054E90" w:rsidRDefault="00054E90" w:rsidP="00054E90">
      <w:pPr>
        <w:spacing w:before="120" w:after="120" w:line="360" w:lineRule="auto"/>
        <w:jc w:val="both"/>
      </w:pPr>
      <w:r>
        <w:t xml:space="preserve">En France, l'institutionnalisation de l'orientation scolaire a débuté dans les années 1920 avec la création des premiers Offices de renseignements sur les professions, avant la structuration progressive de la profession de conseiller d'orientation-psychologue. En Afrique francophone, ces modèles ont été importés avec les systèmes éducatifs hérités de la période coloniale, mais leur mise en œuvre est restée inégale et limitée faute de ressources humaines qualifiées. Au Cameroun, des conseillers d'orientation sont formés et déployés dans les établissements secondaires, mais leur nombre demeure très insuffisant au regard des effectifs à accompagner, et leurs outils de travail — batteries de tests papier développées dans les années 1950 et 1960 — ne bénéficient d'aucune aide numérique (Ministère des Enseignements Secondaires, 2023). C'est précisément ce vide que </w:t>
      </w:r>
      <w:proofErr w:type="spellStart"/>
      <w:r>
        <w:t>CapAvenir</w:t>
      </w:r>
      <w:proofErr w:type="spellEnd"/>
      <w:r>
        <w:t xml:space="preserve"> CMR ambitionne de combler.</w:t>
      </w:r>
    </w:p>
    <w:p w:rsidR="00054E90" w:rsidRDefault="00054E90" w:rsidP="00054E90">
      <w:pPr>
        <w:spacing w:before="80" w:after="80"/>
      </w:pPr>
    </w:p>
    <w:p w:rsidR="00054E90" w:rsidRDefault="00054E90" w:rsidP="00054E90">
      <w:pPr>
        <w:pStyle w:val="Titre2"/>
      </w:pPr>
      <w:r>
        <w:t>2.2  Enjeux et contexte de l'orientation scolaire</w:t>
      </w:r>
    </w:p>
    <w:p w:rsidR="00054E90" w:rsidRDefault="00054E90" w:rsidP="00054E90">
      <w:pPr>
        <w:spacing w:before="120" w:after="120" w:line="360" w:lineRule="auto"/>
        <w:jc w:val="both"/>
      </w:pPr>
      <w:r>
        <w:t>Le suivi scolaire et l'orientation constituent deux piliers fondamentaux pour assurer la réussite éducative des élèves (</w:t>
      </w:r>
      <w:proofErr w:type="spellStart"/>
      <w:r>
        <w:t>Mbarga</w:t>
      </w:r>
      <w:proofErr w:type="spellEnd"/>
      <w:r>
        <w:t>, 2020). Dans le système éducatif camerounais, la transition de la Troisième vers la Seconde est particulièrement critique : c'est à ce moment que l'élève se dirige vers la Série C (à dominante scientifique : Mathématiques, Sciences Physiques, SVT) ou vers la Série A (à dominante littéraire : Français, Histoire-Géographie, Anglais), un choix qui déterminera l'ensemble de son second cycle et, in fine, ses possibilités d'accès à l'enseignement supérieur et ses perspectives professionnelles.</w:t>
      </w:r>
    </w:p>
    <w:p w:rsidR="00054E90" w:rsidRDefault="00054E90" w:rsidP="00054E90">
      <w:pPr>
        <w:spacing w:before="120" w:after="120" w:line="360" w:lineRule="auto"/>
        <w:jc w:val="both"/>
      </w:pPr>
      <w:r>
        <w:t xml:space="preserve">Les enjeux d'une bonne orientation à ce stade sont multiples et bien documentés. Premièrement, une orientation inadaptée est fortement corrélée à des taux d'échec et de redoublement élevés dès la classe de Seconde. Deuxièmement, elle engendre une </w:t>
      </w:r>
      <w:r>
        <w:lastRenderedPageBreak/>
        <w:t>démotivation progressive qui peut conduire au décrochage scolaire, phénomène aux coûts sociaux et économiques considérables (</w:t>
      </w:r>
      <w:proofErr w:type="spellStart"/>
      <w:r>
        <w:t>Rumberger</w:t>
      </w:r>
      <w:proofErr w:type="spellEnd"/>
      <w:r>
        <w:t>, 2011). Troisièmement, au niveau macroéconomique, une inadéquation systémique entre les orientations scolaires et les besoins du marché du travail contribue au chômage des jeunes et freine le développement du pays (UNESCO, 2012).</w:t>
      </w:r>
    </w:p>
    <w:p w:rsidR="00054E90" w:rsidRDefault="00054E90" w:rsidP="00054E90">
      <w:pPr>
        <w:spacing w:before="120" w:after="120" w:line="360" w:lineRule="auto"/>
        <w:jc w:val="both"/>
      </w:pPr>
      <w:r>
        <w:t xml:space="preserve">La dimension socio-économique de l'orientation est souvent négligée alors qu'elle constitue un déterminant majeur des choix possibles. Un élève aux aptitudes scientifiques confirmées mais issu d'une famille à revenus modestes doit être informé des coûts des filières longues et des dispositifs d'aide disponibles, afin de ne pas être contraint d'abandonner ses ambitions pour des raisons financières non anticipées (Bourdieu et </w:t>
      </w:r>
      <w:proofErr w:type="spellStart"/>
      <w:r>
        <w:t>Passeron</w:t>
      </w:r>
      <w:proofErr w:type="spellEnd"/>
      <w:r>
        <w:t xml:space="preserve">, 1970). </w:t>
      </w:r>
      <w:proofErr w:type="spellStart"/>
      <w:r>
        <w:t>CapAvenir</w:t>
      </w:r>
      <w:proofErr w:type="spellEnd"/>
      <w:r>
        <w:t xml:space="preserve"> CMR intègre explicitement cette variable en pondérant ses recommandations selon le revenu mensuel déclaré des parents (faible, moyen, élevé en FCFA). Enfin, des études ont montré que l'implication des parents dans le suivi scolaire améliore significativement la qualité des décisions d'orientation (Epstein, 2001) ; la fiche PDF générée par </w:t>
      </w:r>
      <w:proofErr w:type="spellStart"/>
      <w:r>
        <w:t>CapAvenir</w:t>
      </w:r>
      <w:proofErr w:type="spellEnd"/>
      <w:r>
        <w:t xml:space="preserve"> CMR contribue à renforcer ce dialogue entre l'école et la famille.</w:t>
      </w:r>
    </w:p>
    <w:p w:rsidR="00054E90" w:rsidRDefault="00054E90" w:rsidP="00054E90">
      <w:pPr>
        <w:spacing w:before="80" w:after="80"/>
      </w:pPr>
    </w:p>
    <w:p w:rsidR="00054E90" w:rsidRDefault="00054E90" w:rsidP="00054E90">
      <w:pPr>
        <w:pStyle w:val="Titre2"/>
      </w:pPr>
      <w:r>
        <w:t>2.3  Rôles des tests psychotechniques dans l'orientation scolaire</w:t>
      </w:r>
    </w:p>
    <w:p w:rsidR="00054E90" w:rsidRDefault="00054E90" w:rsidP="00054E90">
      <w:pPr>
        <w:spacing w:before="120" w:after="120" w:line="360" w:lineRule="auto"/>
        <w:jc w:val="both"/>
      </w:pPr>
      <w:r>
        <w:t>Les tests psychotechniques constituent l'instrument le plus robuste et le plus objectif de la psychologie appliquée à l'orientation. Leur principe repose sur la mesure standardisée de capacités cognitives spécifiques, permettant de situer les aptitudes d'un individu par rapport à une population de référence et de prédire sa probabilité de réussite dans des domaines déterminés (</w:t>
      </w:r>
      <w:proofErr w:type="spellStart"/>
      <w:r>
        <w:t>Anastasi</w:t>
      </w:r>
      <w:proofErr w:type="spellEnd"/>
      <w:r>
        <w:t xml:space="preserve"> et </w:t>
      </w:r>
      <w:proofErr w:type="spellStart"/>
      <w:r>
        <w:t>Urbina</w:t>
      </w:r>
      <w:proofErr w:type="spellEnd"/>
      <w:r>
        <w:t>, 1997). Contrairement aux notes scolaires — qui reflètent des acquisitions dans un contexte pédagogique particulier — les tests psychotechniques mesurent des aptitudes cognitives sous-jacentes de façon indépendante des pratiques d'enseignement. Ils présentent trois qualités essentielles : l'objectivité (les résultats ne dépendent pas du jugement subjectif de l'évaluateur), la standardisation (conditions de passation identiques pour tous), et l'étalonnage (interprétation des scores par référence à une distribution normative).</w:t>
      </w:r>
    </w:p>
    <w:p w:rsidR="00054E90" w:rsidRDefault="00054E90" w:rsidP="00054E90">
      <w:pPr>
        <w:spacing w:before="120" w:after="120" w:line="360" w:lineRule="auto"/>
        <w:jc w:val="both"/>
      </w:pPr>
      <w:r>
        <w:t xml:space="preserve">Dans </w:t>
      </w:r>
      <w:proofErr w:type="spellStart"/>
      <w:r>
        <w:t>CapAvenir</w:t>
      </w:r>
      <w:proofErr w:type="spellEnd"/>
      <w:r>
        <w:t xml:space="preserve"> CMR, cinq tests psychotechniques complémentaires sont utilisés, formant une banque totale de 192 questions. Le Test des Dominos (D48), composé de 40 items, mesure le raisonnement logico-abstrait en demandant au sujet de compléter des séries de dominos — aptitude fortement corrélée à la réussite en mathématiques et en sciences </w:t>
      </w:r>
      <w:r>
        <w:lastRenderedPageBreak/>
        <w:t>physiques (</w:t>
      </w:r>
      <w:proofErr w:type="spellStart"/>
      <w:r>
        <w:t>Anstey</w:t>
      </w:r>
      <w:proofErr w:type="spellEnd"/>
      <w:r>
        <w:t>, 1944). Le Test KRX, en 20 items, évalue l'aptitude mathématique à travers l'identification de suites numériques — un prédicteur fiable de la réussite dans les disciplines quantitatives (Carroll, 1993). Le Test Mécanique (MECA), en 36 items, mesure la compréhension des phénomènes physiques et mécaniques. Le Test de Vocabulaire (BV11), en 56 items, évalue l'aptitude verbale et littéraire à travers des exercices de synonymes et de figures de style. Enfin, le Test de Proverbes (PRC), en 40 items, évalue la compréhension du sens figuré et le raisonnement langagier. Les scores étalonnés du D48 et du KRX sont combinés pour calculer le Score d'Aptitude Scientifique (SA), tandis que les scores du BV11 et du PRC forment le Score d'Aptitude Littéraire (LA), les deux indices centraux du moteur de recommandation.</w:t>
      </w:r>
    </w:p>
    <w:p w:rsidR="00054E90" w:rsidRDefault="00054E90" w:rsidP="00054E90">
      <w:pPr>
        <w:spacing w:before="80" w:after="80"/>
      </w:pPr>
    </w:p>
    <w:p w:rsidR="00054E90" w:rsidRDefault="00054E90" w:rsidP="00054E90">
      <w:pPr>
        <w:pStyle w:val="Titre2"/>
      </w:pPr>
      <w:r>
        <w:t>2.4  État sur les applications d'aide à l'orientation scolaire</w:t>
      </w:r>
    </w:p>
    <w:p w:rsidR="00054E90" w:rsidRDefault="00054E90" w:rsidP="00054E90">
      <w:pPr>
        <w:spacing w:before="120" w:after="120" w:line="360" w:lineRule="auto"/>
        <w:jc w:val="both"/>
      </w:pPr>
      <w:r>
        <w:t xml:space="preserve">L'avènement des Technologies de l'Information et de la Communication pour l'Enseignement (TICE) a conduit au développement de nombreuses plateformes numériques traitant de l'orientation scolaire sous différents angles. Une analyse comparative de ces outils existants est indispensable pour bien positionner la contribution originale de </w:t>
      </w:r>
      <w:proofErr w:type="spellStart"/>
      <w:r>
        <w:t>CapAvenir</w:t>
      </w:r>
      <w:proofErr w:type="spellEnd"/>
      <w:r>
        <w:t xml:space="preserve"> CMR.</w:t>
      </w:r>
    </w:p>
    <w:p w:rsidR="00054E90" w:rsidRDefault="00054E90" w:rsidP="00054E90">
      <w:pPr>
        <w:pStyle w:val="Titre3"/>
      </w:pPr>
      <w:r>
        <w:rPr>
          <w:i/>
          <w:iCs/>
        </w:rPr>
        <w:t>2.4.1  Analyse de l'existant : fonctionnalités et manquements</w:t>
      </w:r>
    </w:p>
    <w:p w:rsidR="00054E90" w:rsidRDefault="00054E90" w:rsidP="00054E90">
      <w:pPr>
        <w:spacing w:before="200" w:after="80"/>
      </w:pPr>
      <w:r>
        <w:rPr>
          <w:b/>
          <w:bCs/>
          <w:u w:val="single"/>
        </w:rPr>
        <w:t>2.4.1.1  En Europe</w:t>
      </w:r>
    </w:p>
    <w:p w:rsidR="00054E90" w:rsidRDefault="00054E90" w:rsidP="00054E90">
      <w:pPr>
        <w:spacing w:before="120" w:after="120" w:line="360" w:lineRule="auto"/>
        <w:jc w:val="both"/>
      </w:pPr>
      <w:r>
        <w:rPr>
          <w:b/>
          <w:bCs/>
        </w:rPr>
        <w:t xml:space="preserve">Onisep (France) : </w:t>
      </w:r>
      <w:r>
        <w:t>Le portail de l'Office National d'Information Sur les Enseignements et les Professions propose une base documentaire exhaustive sur les filières, les formations et les métiers. Cependant, il ne comporte aucun module de diagnostic psychotechnique ni d'analyse des performances scolaires individuelles. Il s'agit d'un outil d'information générale, non d'un système de recommandation personnalisée.</w:t>
      </w:r>
    </w:p>
    <w:p w:rsidR="00054E90" w:rsidRDefault="00054E90" w:rsidP="00054E90">
      <w:pPr>
        <w:spacing w:before="80" w:after="80"/>
      </w:pPr>
    </w:p>
    <w:p w:rsidR="00054E90" w:rsidRDefault="00054E90" w:rsidP="00054E90">
      <w:pPr>
        <w:spacing w:before="120" w:after="120" w:line="360" w:lineRule="auto"/>
        <w:jc w:val="both"/>
      </w:pPr>
      <w:proofErr w:type="spellStart"/>
      <w:r>
        <w:rPr>
          <w:b/>
          <w:bCs/>
        </w:rPr>
        <w:t>Parcourssup</w:t>
      </w:r>
      <w:proofErr w:type="spellEnd"/>
      <w:r>
        <w:rPr>
          <w:b/>
          <w:bCs/>
        </w:rPr>
        <w:t xml:space="preserve"> (France) : </w:t>
      </w:r>
      <w:r>
        <w:t xml:space="preserve">Cette plateforme nationale gère les candidatures des lycéens vers l'enseignement supérieur après le baccalauréat. Bien qu'elle intègre le dossier scolaire de chaque élève, elle ne traite pas de l'orientation intra-secondaire — le choix de série en Seconde — qui est précisément l'objet de </w:t>
      </w:r>
      <w:proofErr w:type="spellStart"/>
      <w:r>
        <w:t>CapAvenir</w:t>
      </w:r>
      <w:proofErr w:type="spellEnd"/>
      <w:r>
        <w:t xml:space="preserve"> CMR, et elle n'évalue aucune aptitude cognitive.</w:t>
      </w:r>
    </w:p>
    <w:p w:rsidR="00054E90" w:rsidRDefault="00054E90" w:rsidP="00054E90">
      <w:pPr>
        <w:spacing w:before="200" w:after="80"/>
      </w:pPr>
      <w:r>
        <w:rPr>
          <w:b/>
          <w:bCs/>
          <w:u w:val="single"/>
        </w:rPr>
        <w:t>2.4.1.2  En Afrique</w:t>
      </w:r>
    </w:p>
    <w:p w:rsidR="00054E90" w:rsidRDefault="00054E90" w:rsidP="00054E90">
      <w:pPr>
        <w:spacing w:before="120" w:after="120" w:line="360" w:lineRule="auto"/>
        <w:jc w:val="both"/>
      </w:pPr>
      <w:proofErr w:type="spellStart"/>
      <w:r>
        <w:rPr>
          <w:b/>
          <w:bCs/>
        </w:rPr>
        <w:lastRenderedPageBreak/>
        <w:t>Wolni</w:t>
      </w:r>
      <w:proofErr w:type="spellEnd"/>
      <w:r>
        <w:rPr>
          <w:b/>
          <w:bCs/>
        </w:rPr>
        <w:t xml:space="preserve"> (Côte d'Ivoire) : </w:t>
      </w:r>
      <w:r>
        <w:t>Plateforme mobile proposant des informations sur les filières universitaires et les débouchés en Côte d'Ivoire. Comme l'Onisep, elle n'intègre aucun module d'évaluation psychotechnique ni d'analyse personnalisée des notes scolaires.</w:t>
      </w:r>
    </w:p>
    <w:p w:rsidR="00054E90" w:rsidRDefault="00054E90" w:rsidP="00054E90">
      <w:pPr>
        <w:spacing w:before="80" w:after="80"/>
      </w:pPr>
    </w:p>
    <w:p w:rsidR="00054E90" w:rsidRDefault="00054E90" w:rsidP="00054E90">
      <w:pPr>
        <w:spacing w:before="120" w:after="120" w:line="360" w:lineRule="auto"/>
        <w:jc w:val="both"/>
      </w:pPr>
      <w:r>
        <w:rPr>
          <w:b/>
          <w:bCs/>
        </w:rPr>
        <w:t xml:space="preserve">Systèmes SIGE (Afrique subsaharienne) : </w:t>
      </w:r>
      <w:r>
        <w:t>Les Systèmes d'Information pour la Gestion de l'Éducation, déployés avec l'appui de l'UNESCO dans plusieurs pays africains, se concentrent sur la gestion administrative et statistique sans proposer de fonctionnalité d'orientation individualisée (UNESCO, 2012).</w:t>
      </w:r>
    </w:p>
    <w:p w:rsidR="00054E90" w:rsidRDefault="00054E90" w:rsidP="00054E90">
      <w:pPr>
        <w:spacing w:before="200" w:after="80"/>
      </w:pPr>
      <w:r>
        <w:rPr>
          <w:b/>
          <w:bCs/>
          <w:u w:val="single"/>
        </w:rPr>
        <w:t>2.4.1.3  Au Cameroun</w:t>
      </w:r>
    </w:p>
    <w:p w:rsidR="00054E90" w:rsidRDefault="00054E90" w:rsidP="00054E90">
      <w:pPr>
        <w:spacing w:before="120" w:after="120" w:line="360" w:lineRule="auto"/>
        <w:jc w:val="both"/>
      </w:pPr>
      <w:r>
        <w:rPr>
          <w:b/>
          <w:bCs/>
        </w:rPr>
        <w:t xml:space="preserve">E-SCHOOL (ENS Yaoundé, 2023) : </w:t>
      </w:r>
      <w:r>
        <w:t>Plateforme web de gestion scolaire proposant une messagerie interne et des notifications SMS aux parents. Aucune fonctionnalité d'orientation n'est présente : pas de tests psychotechniques, pas de calcul d'aptitudes, pas de recommandation de filière.</w:t>
      </w:r>
    </w:p>
    <w:p w:rsidR="00054E90" w:rsidRDefault="00054E90" w:rsidP="00054E90">
      <w:pPr>
        <w:spacing w:before="80" w:after="80"/>
      </w:pPr>
    </w:p>
    <w:p w:rsidR="00054E90" w:rsidRDefault="00054E90" w:rsidP="00054E90">
      <w:pPr>
        <w:spacing w:before="120" w:after="120" w:line="360" w:lineRule="auto"/>
        <w:jc w:val="both"/>
      </w:pPr>
      <w:r>
        <w:rPr>
          <w:b/>
          <w:bCs/>
        </w:rPr>
        <w:t>E-</w:t>
      </w:r>
      <w:proofErr w:type="spellStart"/>
      <w:r>
        <w:rPr>
          <w:b/>
          <w:bCs/>
        </w:rPr>
        <w:t>SchoolConnect</w:t>
      </w:r>
      <w:proofErr w:type="spellEnd"/>
      <w:r>
        <w:rPr>
          <w:b/>
          <w:bCs/>
        </w:rPr>
        <w:t xml:space="preserve"> (ENS Yaoundé, 2025) : </w:t>
      </w:r>
      <w:r>
        <w:t>Application centrée sur la notification en temps réel des parents et sur un forum de discussion. Elle ne traite pas davantage de l'orientation scolaire vers les filières de second cycle.</w:t>
      </w:r>
    </w:p>
    <w:p w:rsidR="00054E90" w:rsidRDefault="00054E90" w:rsidP="00054E90">
      <w:pPr>
        <w:spacing w:before="80" w:after="80"/>
      </w:pPr>
    </w:p>
    <w:p w:rsidR="00054E90" w:rsidRDefault="00054E90" w:rsidP="00054E90">
      <w:pPr>
        <w:spacing w:before="120" w:after="120" w:line="360" w:lineRule="auto"/>
        <w:jc w:val="both"/>
      </w:pPr>
      <w:r>
        <w:t xml:space="preserve">Au regard de cet état des lieux, aucune solution existante ne propose l'intégration complète des cinq dimensions nécessaires à une orientation rigoureuse de la Troisième vers la Seconde : notes multi-trimestrielles scientifiques, notes multi-trimestrielles littéraires, scores aux cinq tests psychotechniques, centres d'intérêt et projet professionnel, et contexte socio-économique familial. C'est ce vide structurel que </w:t>
      </w:r>
      <w:proofErr w:type="spellStart"/>
      <w:r>
        <w:t>CapAvenir</w:t>
      </w:r>
      <w:proofErr w:type="spellEnd"/>
      <w:r>
        <w:t xml:space="preserve"> CMR comble.</w:t>
      </w:r>
    </w:p>
    <w:p w:rsidR="00054E90" w:rsidRDefault="00054E90" w:rsidP="00054E90">
      <w:pPr>
        <w:spacing w:before="80" w:after="80"/>
      </w:pPr>
    </w:p>
    <w:p w:rsidR="00054E90" w:rsidRDefault="00054E90" w:rsidP="00054E90">
      <w:pPr>
        <w:pStyle w:val="Titre2"/>
      </w:pPr>
      <w:r>
        <w:t>2.5  Modèles de développement logiciel</w:t>
      </w:r>
    </w:p>
    <w:p w:rsidR="00054E90" w:rsidRDefault="00054E90" w:rsidP="00054E90">
      <w:pPr>
        <w:spacing w:before="120" w:after="120" w:line="360" w:lineRule="auto"/>
        <w:jc w:val="both"/>
      </w:pPr>
      <w:r>
        <w:t>La conception d'une application intelligente nécessite d'adopter un cadre méthodologique structurant le processus de développement de l'expression des besoins jusqu'à la livraison du produit. Ces modèles de cycle de vie permettent d'organiser les activités, de gérer les ressources et de maîtriser la qualité (</w:t>
      </w:r>
      <w:proofErr w:type="spellStart"/>
      <w:r>
        <w:t>Lonchamp</w:t>
      </w:r>
      <w:proofErr w:type="spellEnd"/>
      <w:r>
        <w:t>, 2015). Il en existe plusieurs, que l'on peut classer en deux grandes familles : les modèles traditionnels et les modèles agiles (</w:t>
      </w:r>
      <w:proofErr w:type="spellStart"/>
      <w:r>
        <w:t>Leau</w:t>
      </w:r>
      <w:proofErr w:type="spellEnd"/>
      <w:r>
        <w:t xml:space="preserve"> et </w:t>
      </w:r>
      <w:proofErr w:type="gramStart"/>
      <w:r>
        <w:t>al.,</w:t>
      </w:r>
      <w:proofErr w:type="gramEnd"/>
      <w:r>
        <w:t xml:space="preserve"> 2012).</w:t>
      </w:r>
    </w:p>
    <w:p w:rsidR="00054E90" w:rsidRDefault="00054E90" w:rsidP="00054E90">
      <w:pPr>
        <w:pStyle w:val="Titre3"/>
      </w:pPr>
      <w:r>
        <w:rPr>
          <w:i/>
          <w:iCs/>
        </w:rPr>
        <w:lastRenderedPageBreak/>
        <w:t>2.5.1  Les modèles traditionnels</w:t>
      </w:r>
    </w:p>
    <w:p w:rsidR="00054E90" w:rsidRDefault="00054E90" w:rsidP="00054E90">
      <w:pPr>
        <w:spacing w:before="120" w:after="120" w:line="360" w:lineRule="auto"/>
        <w:jc w:val="both"/>
      </w:pPr>
      <w:r>
        <w:t>Les modèles traditionnels sont fondés sur une succession d'étapes séquentielles telles que la définition des exigences, la conception, la construction, les tests et le déploiement (</w:t>
      </w:r>
      <w:proofErr w:type="spellStart"/>
      <w:r>
        <w:t>Leau</w:t>
      </w:r>
      <w:proofErr w:type="spellEnd"/>
      <w:r>
        <w:t xml:space="preserve"> et </w:t>
      </w:r>
      <w:proofErr w:type="gramStart"/>
      <w:r>
        <w:t>al.,</w:t>
      </w:r>
      <w:proofErr w:type="gramEnd"/>
      <w:r>
        <w:t xml:space="preserve"> 2012). Ils sont qualifiés de prescriptifs car ils imposent une façon rigoureusement définie d'organiser le développement. Nous présentons brièvement deux modèles représentatifs.</w:t>
      </w:r>
    </w:p>
    <w:p w:rsidR="00054E90" w:rsidRDefault="00054E90" w:rsidP="00054E90">
      <w:pPr>
        <w:spacing w:before="200" w:after="80"/>
      </w:pPr>
      <w:r>
        <w:rPr>
          <w:b/>
          <w:bCs/>
          <w:u w:val="single"/>
        </w:rPr>
        <w:t>2.5.1.1  Le modèle en cascade</w:t>
      </w:r>
    </w:p>
    <w:p w:rsidR="00054E90" w:rsidRDefault="00054E90" w:rsidP="00054E90">
      <w:pPr>
        <w:spacing w:before="120" w:after="120" w:line="360" w:lineRule="auto"/>
        <w:jc w:val="both"/>
      </w:pPr>
      <w:r>
        <w:t>Proposé par Royce (1970), c'est le plus ancien et le plus connu des modèles de développement. Il décompose le cycle de vie en phases strictement ordonnées : expression des besoins, analyse, conception, codage, tests et validation. Chaque phase doit être entièrement complétée avant de passer à la suivante, et produit un livrable documentaire servant d'entrée à la phase suivante. Il convient aux projets dont les besoins sont stables et bien définis dès le départ, lorsque la qualité prime sur le coût temporel. Sa principale faiblesse est son manque de flexibilité : toute modification de besoins en cours de développement entraîne des coûts de reprise élevés (</w:t>
      </w:r>
      <w:proofErr w:type="spellStart"/>
      <w:r>
        <w:t>Alshamrani</w:t>
      </w:r>
      <w:proofErr w:type="spellEnd"/>
      <w:r>
        <w:t xml:space="preserve"> et </w:t>
      </w:r>
      <w:proofErr w:type="spellStart"/>
      <w:r>
        <w:t>Bahattab</w:t>
      </w:r>
      <w:proofErr w:type="spellEnd"/>
      <w:r>
        <w:t>, 2015).</w:t>
      </w:r>
    </w:p>
    <w:p w:rsidR="00054E90" w:rsidRDefault="00054E90" w:rsidP="00054E90">
      <w:pPr>
        <w:spacing w:before="80" w:after="80"/>
      </w:pPr>
    </w:p>
    <w:p w:rsidR="00D27C29" w:rsidRDefault="00D27C29" w:rsidP="00D27C29">
      <w:pPr>
        <w:pStyle w:val="NormalWeb"/>
        <w:jc w:val="center"/>
      </w:pPr>
      <w:r>
        <w:rPr>
          <w:noProof/>
        </w:rPr>
        <w:drawing>
          <wp:inline distT="0" distB="0" distL="0" distR="0">
            <wp:extent cx="3400425" cy="3209925"/>
            <wp:effectExtent l="0" t="0" r="9525" b="9525"/>
            <wp:docPr id="14" name="Image 14" descr="C:\Users\jordan wamba\Desktop\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ordan wamba\Desktop\C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0425" cy="3209925"/>
                    </a:xfrm>
                    <a:prstGeom prst="rect">
                      <a:avLst/>
                    </a:prstGeom>
                    <a:noFill/>
                    <a:ln>
                      <a:noFill/>
                    </a:ln>
                  </pic:spPr>
                </pic:pic>
              </a:graphicData>
            </a:graphic>
          </wp:inline>
        </w:drawing>
      </w:r>
    </w:p>
    <w:p w:rsidR="00054E90" w:rsidRDefault="00054E90" w:rsidP="00054E90">
      <w:pPr>
        <w:spacing w:before="180" w:after="60"/>
        <w:jc w:val="center"/>
      </w:pPr>
    </w:p>
    <w:p w:rsidR="00054E90" w:rsidRDefault="00054E90" w:rsidP="00054E90">
      <w:pPr>
        <w:spacing w:before="60" w:after="200"/>
        <w:jc w:val="center"/>
      </w:pPr>
    </w:p>
    <w:p w:rsidR="00054E90" w:rsidRDefault="00054E90" w:rsidP="00054E90">
      <w:pPr>
        <w:spacing w:before="200" w:after="80"/>
      </w:pPr>
      <w:r>
        <w:rPr>
          <w:b/>
          <w:bCs/>
          <w:u w:val="single"/>
        </w:rPr>
        <w:t>2.5.1.2  Le modèle en spirale</w:t>
      </w:r>
    </w:p>
    <w:p w:rsidR="00054E90" w:rsidRDefault="00054E90" w:rsidP="00054E90">
      <w:pPr>
        <w:spacing w:before="120" w:after="120" w:line="360" w:lineRule="auto"/>
        <w:jc w:val="both"/>
      </w:pPr>
      <w:r>
        <w:t xml:space="preserve">Défini par Boehm (1988), le modèle en spirale introduit une dimension itérative et une gestion explicite des risques. Le développement progresse par tours de spirale successifs, </w:t>
      </w:r>
      <w:r>
        <w:lastRenderedPageBreak/>
        <w:t>chacun comprenant quatre quadrants : l'analyse des besoins et des risques, le prototypage d'une solution, son développement complet, et l'évaluation avec les parties prenantes. Ce modèle convient aux projets innovants présentant des incertitudes techniques importantes, car il permet de valider les choix par l'expérimentation. Sa principale limite est le coût élevé de l'analyse des risques, qui requiert une expertise spécifique (</w:t>
      </w:r>
      <w:proofErr w:type="spellStart"/>
      <w:r>
        <w:t>Bhuvaneswari</w:t>
      </w:r>
      <w:proofErr w:type="spellEnd"/>
      <w:r>
        <w:t xml:space="preserve"> et </w:t>
      </w:r>
      <w:proofErr w:type="spellStart"/>
      <w:r>
        <w:t>Prabaharan</w:t>
      </w:r>
      <w:proofErr w:type="spellEnd"/>
      <w:r>
        <w:t>, 2013).</w:t>
      </w:r>
    </w:p>
    <w:p w:rsidR="00054E90" w:rsidRDefault="00054E90" w:rsidP="00054E90">
      <w:pPr>
        <w:spacing w:before="80" w:after="80"/>
      </w:pPr>
    </w:p>
    <w:p w:rsidR="00D27C29" w:rsidRDefault="00D27C29" w:rsidP="00D27C29">
      <w:pPr>
        <w:pStyle w:val="NormalWeb"/>
        <w:jc w:val="center"/>
      </w:pPr>
      <w:r>
        <w:rPr>
          <w:noProof/>
        </w:rPr>
        <w:drawing>
          <wp:inline distT="0" distB="0" distL="0" distR="0">
            <wp:extent cx="2990850" cy="2876550"/>
            <wp:effectExtent l="0" t="0" r="0" b="0"/>
            <wp:docPr id="15" name="Image 15" descr="C:\Users\jordan wamba\Desktop\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ordan wamba\Desktop\C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0850" cy="2876550"/>
                    </a:xfrm>
                    <a:prstGeom prst="rect">
                      <a:avLst/>
                    </a:prstGeom>
                    <a:noFill/>
                    <a:ln>
                      <a:noFill/>
                    </a:ln>
                  </pic:spPr>
                </pic:pic>
              </a:graphicData>
            </a:graphic>
          </wp:inline>
        </w:drawing>
      </w:r>
    </w:p>
    <w:p w:rsidR="00054E90" w:rsidRDefault="00054E90" w:rsidP="00054E90">
      <w:pPr>
        <w:spacing w:before="180" w:after="60"/>
        <w:jc w:val="center"/>
      </w:pPr>
    </w:p>
    <w:p w:rsidR="00054E90" w:rsidRDefault="00054E90" w:rsidP="00054E90">
      <w:pPr>
        <w:spacing w:before="60" w:after="200"/>
        <w:jc w:val="center"/>
      </w:pPr>
      <w:r>
        <w:rPr>
          <w:b/>
          <w:bCs/>
          <w:i/>
          <w:iCs/>
          <w:sz w:val="22"/>
          <w:szCs w:val="22"/>
        </w:rPr>
        <w:t xml:space="preserve">Figure 2.2 : Modèle en spirale (adapté de </w:t>
      </w:r>
      <w:proofErr w:type="spellStart"/>
      <w:r>
        <w:rPr>
          <w:b/>
          <w:bCs/>
          <w:i/>
          <w:iCs/>
          <w:sz w:val="22"/>
          <w:szCs w:val="22"/>
        </w:rPr>
        <w:t>Lonchamp</w:t>
      </w:r>
      <w:proofErr w:type="spellEnd"/>
      <w:r>
        <w:rPr>
          <w:b/>
          <w:bCs/>
          <w:i/>
          <w:iCs/>
          <w:sz w:val="22"/>
          <w:szCs w:val="22"/>
        </w:rPr>
        <w:t>, 2015)</w:t>
      </w:r>
    </w:p>
    <w:p w:rsidR="00D27C29" w:rsidRDefault="00D27C29" w:rsidP="00054E90">
      <w:pPr>
        <w:spacing w:before="120" w:after="120" w:line="360" w:lineRule="auto"/>
        <w:jc w:val="both"/>
      </w:pPr>
    </w:p>
    <w:p w:rsidR="00054E90" w:rsidRDefault="00054E90" w:rsidP="00054E90">
      <w:pPr>
        <w:spacing w:before="120" w:after="120" w:line="360" w:lineRule="auto"/>
        <w:jc w:val="both"/>
      </w:pPr>
      <w:r>
        <w:t>Ces modèles traditionnels, parce qu'ils imposent un cadre rigide dans lequel tout est rationalisé et contractualisé, concentrent une part importante de l'effort sur des activités indirectement orientées vers le produit logiciel lui-même. C'est cette rigidité qui a conduit à l'émergence des modèles agiles.</w:t>
      </w:r>
    </w:p>
    <w:p w:rsidR="00054E90" w:rsidRDefault="00054E90" w:rsidP="00054E90">
      <w:pPr>
        <w:pStyle w:val="Titre3"/>
      </w:pPr>
      <w:r>
        <w:rPr>
          <w:i/>
          <w:iCs/>
        </w:rPr>
        <w:t>2.5.2  Les modèles agiles</w:t>
      </w:r>
    </w:p>
    <w:p w:rsidR="00054E90" w:rsidRDefault="00054E90" w:rsidP="00054E90">
      <w:pPr>
        <w:spacing w:before="120" w:after="120" w:line="360" w:lineRule="auto"/>
        <w:jc w:val="both"/>
      </w:pPr>
      <w:r>
        <w:t xml:space="preserve">Face aux besoins d'adaptabilité et de réactivité, les méthodes agiles ont émergé à partir des années 1990 comme une alternative plus flexible aux modèles traditionnels. Le terme « agile » désigne la capacité d'un système à réagir de façon réactive et proactive aux changements. Ces méthodes cherchent à alléger le cadre méthodologique et à rester focalisées sur la production d'un logiciel fonctionnel répondant aux besoins réels des utilisateurs. Elles sont particulièrement adaptées aux projets dont les spécifications évoluent, grâce à l'implication </w:t>
      </w:r>
      <w:r>
        <w:lastRenderedPageBreak/>
        <w:t>constante des parties prenantes (Prié, 2007). Les méthodologies agiles reposent sur quatre valeurs fondamentales :</w:t>
      </w:r>
    </w:p>
    <w:p w:rsidR="00054E90" w:rsidRDefault="00054E90" w:rsidP="00054E90">
      <w:pPr>
        <w:pStyle w:val="Paragraphedeliste"/>
        <w:numPr>
          <w:ilvl w:val="0"/>
          <w:numId w:val="4"/>
        </w:numPr>
        <w:spacing w:before="80" w:after="80" w:line="340" w:lineRule="auto"/>
      </w:pPr>
      <w:r>
        <w:rPr>
          <w:b/>
          <w:bCs/>
        </w:rPr>
        <w:t xml:space="preserve">La communication : </w:t>
      </w:r>
      <w:r>
        <w:t>priorité donnée aux personnes et aux interactions plutôt qu'aux processus formels ;</w:t>
      </w:r>
    </w:p>
    <w:p w:rsidR="00054E90" w:rsidRDefault="00054E90" w:rsidP="00054E90">
      <w:pPr>
        <w:pStyle w:val="Paragraphedeliste"/>
        <w:numPr>
          <w:ilvl w:val="0"/>
          <w:numId w:val="4"/>
        </w:numPr>
        <w:spacing w:before="80" w:after="80" w:line="340" w:lineRule="auto"/>
      </w:pPr>
      <w:r>
        <w:rPr>
          <w:b/>
          <w:bCs/>
        </w:rPr>
        <w:t xml:space="preserve">La simplicité : </w:t>
      </w:r>
      <w:r>
        <w:t>accent mis sur la livraison d'applications fonctionnelles plutôt que sur la documentation exhaustive ;</w:t>
      </w:r>
    </w:p>
    <w:p w:rsidR="00054E90" w:rsidRDefault="00054E90" w:rsidP="00054E90">
      <w:pPr>
        <w:pStyle w:val="Paragraphedeliste"/>
        <w:numPr>
          <w:ilvl w:val="0"/>
          <w:numId w:val="4"/>
        </w:numPr>
        <w:spacing w:before="80" w:after="80" w:line="340" w:lineRule="auto"/>
      </w:pPr>
      <w:r>
        <w:rPr>
          <w:b/>
          <w:bCs/>
        </w:rPr>
        <w:t xml:space="preserve">Le feedback : </w:t>
      </w:r>
      <w:r>
        <w:t>collaboration étroite et continue avec le client tout au long du développement ;</w:t>
      </w:r>
    </w:p>
    <w:p w:rsidR="00054E90" w:rsidRDefault="00054E90" w:rsidP="00054E90">
      <w:pPr>
        <w:pStyle w:val="Paragraphedeliste"/>
        <w:numPr>
          <w:ilvl w:val="0"/>
          <w:numId w:val="4"/>
        </w:numPr>
        <w:spacing w:before="80" w:after="80" w:line="340" w:lineRule="auto"/>
      </w:pPr>
      <w:r>
        <w:rPr>
          <w:b/>
          <w:bCs/>
        </w:rPr>
        <w:t xml:space="preserve">Le courage : </w:t>
      </w:r>
      <w:r>
        <w:t>acceptation du changement et capacité à réviser les choix en cours de développement.</w:t>
      </w:r>
    </w:p>
    <w:p w:rsidR="00054E90" w:rsidRDefault="00054E90" w:rsidP="00054E90">
      <w:pPr>
        <w:spacing w:before="120" w:after="120" w:line="360" w:lineRule="auto"/>
        <w:jc w:val="both"/>
      </w:pPr>
      <w:r>
        <w:t xml:space="preserve">Deux méthodes agiles représentatives sont présentées ci-dessous : </w:t>
      </w:r>
      <w:proofErr w:type="spellStart"/>
      <w:r>
        <w:t>Extreme</w:t>
      </w:r>
      <w:proofErr w:type="spellEnd"/>
      <w:r>
        <w:t xml:space="preserve"> </w:t>
      </w:r>
      <w:proofErr w:type="spellStart"/>
      <w:r>
        <w:t>Programming</w:t>
      </w:r>
      <w:proofErr w:type="spellEnd"/>
      <w:r>
        <w:t xml:space="preserve"> (XP) et SCRUM.</w:t>
      </w:r>
    </w:p>
    <w:p w:rsidR="00054E90" w:rsidRDefault="00054E90" w:rsidP="00054E90">
      <w:pPr>
        <w:spacing w:before="200" w:after="80"/>
      </w:pPr>
      <w:r>
        <w:rPr>
          <w:b/>
          <w:bCs/>
          <w:u w:val="single"/>
        </w:rPr>
        <w:t xml:space="preserve">2.5.2.1  </w:t>
      </w:r>
      <w:proofErr w:type="spellStart"/>
      <w:r>
        <w:rPr>
          <w:b/>
          <w:bCs/>
          <w:u w:val="single"/>
        </w:rPr>
        <w:t>Extreme</w:t>
      </w:r>
      <w:proofErr w:type="spellEnd"/>
      <w:r>
        <w:rPr>
          <w:b/>
          <w:bCs/>
          <w:u w:val="single"/>
        </w:rPr>
        <w:t xml:space="preserve"> </w:t>
      </w:r>
      <w:proofErr w:type="spellStart"/>
      <w:r>
        <w:rPr>
          <w:b/>
          <w:bCs/>
          <w:u w:val="single"/>
        </w:rPr>
        <w:t>Programming</w:t>
      </w:r>
      <w:proofErr w:type="spellEnd"/>
      <w:r>
        <w:rPr>
          <w:b/>
          <w:bCs/>
          <w:u w:val="single"/>
        </w:rPr>
        <w:t xml:space="preserve"> (XP)</w:t>
      </w:r>
    </w:p>
    <w:p w:rsidR="00054E90" w:rsidRDefault="00054E90" w:rsidP="00054E90">
      <w:pPr>
        <w:spacing w:before="120" w:after="120" w:line="360" w:lineRule="auto"/>
        <w:jc w:val="both"/>
      </w:pPr>
      <w:r>
        <w:t xml:space="preserve">Proposée par Kent Beck à la fin des années 1990, XP est l'une des méthodes agiles les plus connues (Prié, 2007). Elle définit treize pratiques fondamentales regroupées en trois catégories : les pratiques liées à la programmation (développement piloté par les tests, </w:t>
      </w:r>
      <w:proofErr w:type="spellStart"/>
      <w:r>
        <w:t>refactoring</w:t>
      </w:r>
      <w:proofErr w:type="spellEnd"/>
      <w:r>
        <w:t>, intégration continue, propriété collective</w:t>
      </w:r>
      <w:bookmarkStart w:id="0" w:name="_GoBack"/>
      <w:bookmarkEnd w:id="0"/>
      <w:r>
        <w:t xml:space="preserve"> du code, conception simple, utilisation de métaphores), les pratiques liées au fonctionnement de l'équipe (programmation en binôme, rythme soutenable, norme de codage), et les pratiques liées à la relation avec le client (client sur le site, jeu du planning, livraisons fréquentes). XP se révèle particulièrement efficace pour les petits projets et produit des applications de qualité grâce à la rigueur imposée sur les tests. En revanche, elle est difficile à mettre en œuvre sur de grands projets où la documentation formelle est incontournable.</w:t>
      </w:r>
    </w:p>
    <w:p w:rsidR="00054E90" w:rsidRDefault="00054E90" w:rsidP="00054E90">
      <w:pPr>
        <w:spacing w:before="80" w:after="80"/>
      </w:pPr>
    </w:p>
    <w:p w:rsidR="00D27C29" w:rsidRDefault="00D27C29" w:rsidP="00D27C29">
      <w:pPr>
        <w:pStyle w:val="NormalWeb"/>
        <w:jc w:val="center"/>
        <w:rPr>
          <w:b/>
          <w:bCs/>
          <w:i/>
          <w:iCs/>
          <w:sz w:val="22"/>
          <w:szCs w:val="22"/>
        </w:rPr>
      </w:pPr>
      <w:r>
        <w:rPr>
          <w:noProof/>
        </w:rPr>
        <w:lastRenderedPageBreak/>
        <w:drawing>
          <wp:inline distT="0" distB="0" distL="0" distR="0">
            <wp:extent cx="2924175" cy="2819400"/>
            <wp:effectExtent l="0" t="0" r="9525" b="0"/>
            <wp:docPr id="16" name="Image 16" descr="C:\Users\jordan wamba\Desktop\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ordan wamba\Desktop\C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4175" cy="2819400"/>
                    </a:xfrm>
                    <a:prstGeom prst="rect">
                      <a:avLst/>
                    </a:prstGeom>
                    <a:noFill/>
                    <a:ln>
                      <a:noFill/>
                    </a:ln>
                  </pic:spPr>
                </pic:pic>
              </a:graphicData>
            </a:graphic>
          </wp:inline>
        </w:drawing>
      </w:r>
    </w:p>
    <w:p w:rsidR="00054E90" w:rsidRDefault="00054E90" w:rsidP="00D27C29">
      <w:pPr>
        <w:pStyle w:val="NormalWeb"/>
        <w:jc w:val="center"/>
      </w:pPr>
      <w:r>
        <w:rPr>
          <w:b/>
          <w:bCs/>
          <w:i/>
          <w:iCs/>
          <w:sz w:val="22"/>
          <w:szCs w:val="22"/>
        </w:rPr>
        <w:t>Figure 2.3 : Pratiques XP (adapté de www.XProgramming.com)</w:t>
      </w:r>
    </w:p>
    <w:p w:rsidR="00D27C29" w:rsidRDefault="00D27C29" w:rsidP="00054E90">
      <w:pPr>
        <w:spacing w:before="120" w:after="120" w:line="360" w:lineRule="auto"/>
        <w:jc w:val="both"/>
      </w:pPr>
    </w:p>
    <w:p w:rsidR="00054E90" w:rsidRDefault="00054E90" w:rsidP="00054E90">
      <w:pPr>
        <w:spacing w:before="120" w:after="120" w:line="360" w:lineRule="auto"/>
        <w:jc w:val="both"/>
      </w:pPr>
      <w:r>
        <w:t xml:space="preserve">Le cycle de développement XP se déroule en trois phases principales. La phase d'exploration permet au client d'exprimer ses besoins sous forme </w:t>
      </w:r>
      <w:proofErr w:type="gramStart"/>
      <w:r>
        <w:t>de User</w:t>
      </w:r>
      <w:proofErr w:type="gramEnd"/>
      <w:r>
        <w:t xml:space="preserve"> Stories. La phase de planification sélectionne les stories à implémenter et les décompose en tâches estimées. La phase de maintenance répète les cycles de planification, de construction et de mise en production pour les livraisons successives, tant que le client dispose de nouvelles stories à développer.</w:t>
      </w:r>
    </w:p>
    <w:p w:rsidR="00054E90" w:rsidRDefault="00054E90" w:rsidP="00054E90">
      <w:pPr>
        <w:spacing w:before="80" w:after="80"/>
      </w:pPr>
    </w:p>
    <w:p w:rsidR="00D27C29" w:rsidRDefault="00D27C29" w:rsidP="00D27C29">
      <w:pPr>
        <w:pStyle w:val="NormalWeb"/>
        <w:jc w:val="center"/>
        <w:rPr>
          <w:b/>
          <w:bCs/>
          <w:i/>
          <w:iCs/>
          <w:sz w:val="22"/>
          <w:szCs w:val="22"/>
        </w:rPr>
      </w:pPr>
      <w:r>
        <w:rPr>
          <w:noProof/>
        </w:rPr>
        <w:drawing>
          <wp:inline distT="0" distB="0" distL="0" distR="0">
            <wp:extent cx="3114675" cy="2676525"/>
            <wp:effectExtent l="0" t="0" r="9525" b="9525"/>
            <wp:docPr id="17" name="Image 17" descr="C:\Users\jordan wamba\Desktop\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ordan wamba\Desktop\C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675" cy="2676525"/>
                    </a:xfrm>
                    <a:prstGeom prst="rect">
                      <a:avLst/>
                    </a:prstGeom>
                    <a:noFill/>
                    <a:ln>
                      <a:noFill/>
                    </a:ln>
                  </pic:spPr>
                </pic:pic>
              </a:graphicData>
            </a:graphic>
          </wp:inline>
        </w:drawing>
      </w:r>
    </w:p>
    <w:p w:rsidR="00054E90" w:rsidRDefault="00054E90" w:rsidP="00D27C29">
      <w:pPr>
        <w:pStyle w:val="NormalWeb"/>
        <w:jc w:val="center"/>
        <w:rPr>
          <w:b/>
          <w:bCs/>
          <w:i/>
          <w:iCs/>
          <w:sz w:val="22"/>
          <w:szCs w:val="22"/>
        </w:rPr>
      </w:pPr>
      <w:r>
        <w:rPr>
          <w:b/>
          <w:bCs/>
          <w:i/>
          <w:iCs/>
          <w:sz w:val="22"/>
          <w:szCs w:val="22"/>
        </w:rPr>
        <w:t xml:space="preserve">Figure 2.4 : Cycle de vie macroscopique d'un projet XP (adapté de </w:t>
      </w:r>
      <w:proofErr w:type="spellStart"/>
      <w:r>
        <w:rPr>
          <w:b/>
          <w:bCs/>
          <w:i/>
          <w:iCs/>
          <w:sz w:val="22"/>
          <w:szCs w:val="22"/>
        </w:rPr>
        <w:t>Lonchamp</w:t>
      </w:r>
      <w:proofErr w:type="spellEnd"/>
      <w:r>
        <w:rPr>
          <w:b/>
          <w:bCs/>
          <w:i/>
          <w:iCs/>
          <w:sz w:val="22"/>
          <w:szCs w:val="22"/>
        </w:rPr>
        <w:t>, 2015)</w:t>
      </w:r>
    </w:p>
    <w:p w:rsidR="00D27C29" w:rsidRDefault="00D27C29" w:rsidP="00D27C29">
      <w:pPr>
        <w:pStyle w:val="NormalWeb"/>
        <w:jc w:val="center"/>
      </w:pPr>
    </w:p>
    <w:p w:rsidR="00D27C29" w:rsidRDefault="00D27C29" w:rsidP="00D27C29">
      <w:pPr>
        <w:pStyle w:val="NormalWeb"/>
        <w:jc w:val="center"/>
      </w:pPr>
    </w:p>
    <w:p w:rsidR="00D27C29" w:rsidRDefault="00D27C29" w:rsidP="00D27C29">
      <w:pPr>
        <w:pStyle w:val="NormalWeb"/>
      </w:pPr>
      <w:r>
        <w:t>Cette</w:t>
      </w:r>
      <w:r>
        <w:t xml:space="preserve"> méthode produit une bonne cohésion d’é</w:t>
      </w:r>
      <w:r>
        <w:t xml:space="preserve">quipe et met l’accent </w:t>
      </w:r>
      <w:r>
        <w:t>sur le produit final et est itérative. Cependant, avec cette mé</w:t>
      </w:r>
      <w:r>
        <w:t>t</w:t>
      </w:r>
      <w:r>
        <w:t xml:space="preserve">hode, il sera est difficile d’´évoluer </w:t>
      </w:r>
      <w:proofErr w:type="spellStart"/>
      <w:r>
        <w:t>ver</w:t>
      </w:r>
      <w:r>
        <w:t>sde</w:t>
      </w:r>
      <w:proofErr w:type="spellEnd"/>
      <w:r>
        <w:t xml:space="preserve"> grands projets où</w:t>
      </w:r>
      <w:r>
        <w:t xml:space="preserve"> la documentation est essentielle</w:t>
      </w:r>
      <w:r>
        <w:t>.</w:t>
      </w:r>
    </w:p>
    <w:p w:rsidR="00D27C29" w:rsidRDefault="00D27C29" w:rsidP="00D27C29">
      <w:pPr>
        <w:pStyle w:val="NormalWeb"/>
      </w:pPr>
    </w:p>
    <w:p w:rsidR="00D27C29" w:rsidRDefault="00D27C29" w:rsidP="00054E90">
      <w:pPr>
        <w:spacing w:before="200" w:after="80"/>
        <w:rPr>
          <w:b/>
          <w:bCs/>
          <w:u w:val="single"/>
        </w:rPr>
      </w:pPr>
    </w:p>
    <w:p w:rsidR="00054E90" w:rsidRDefault="00054E90" w:rsidP="00054E90">
      <w:pPr>
        <w:spacing w:before="200" w:after="80"/>
      </w:pPr>
      <w:r>
        <w:rPr>
          <w:b/>
          <w:bCs/>
          <w:u w:val="single"/>
        </w:rPr>
        <w:t>2.5.2.2  SCRUM</w:t>
      </w:r>
    </w:p>
    <w:p w:rsidR="00054E90" w:rsidRDefault="00054E90" w:rsidP="00054E90">
      <w:pPr>
        <w:spacing w:before="120" w:after="120" w:line="360" w:lineRule="auto"/>
        <w:jc w:val="both"/>
      </w:pPr>
      <w:r>
        <w:t xml:space="preserve">SCRUM est la méthode agile la plus répandue dans l'industrie logicielle actuelle. Créée en 1993 par Jeff Sutherland et formalisée par Ken </w:t>
      </w:r>
      <w:proofErr w:type="spellStart"/>
      <w:r>
        <w:t>Schwaber</w:t>
      </w:r>
      <w:proofErr w:type="spellEnd"/>
      <w:r>
        <w:t xml:space="preserve">, elle structure le développement en cycles courts appelés sprints (2 à 4 semaines), à l'issue desquels une version fonctionnelle et potentiellement livrable du produit est présentée lors d'une revue de sprint. L'équipe SCRUM se compose de trois rôles : le Product </w:t>
      </w:r>
      <w:proofErr w:type="spellStart"/>
      <w:r>
        <w:t>Owner</w:t>
      </w:r>
      <w:proofErr w:type="spellEnd"/>
      <w:r>
        <w:t xml:space="preserve">, qui priorise le Product </w:t>
      </w:r>
      <w:proofErr w:type="spellStart"/>
      <w:r>
        <w:t>Backlog</w:t>
      </w:r>
      <w:proofErr w:type="spellEnd"/>
      <w:r>
        <w:t xml:space="preserve"> ; le </w:t>
      </w:r>
      <w:proofErr w:type="spellStart"/>
      <w:r>
        <w:t>Scrum</w:t>
      </w:r>
      <w:proofErr w:type="spellEnd"/>
      <w:r>
        <w:t xml:space="preserve"> Master, qui facilite le travail de l'équipe ; et l'équipe de développement, qui réalise les fonctionnalités. Cette méthode met fortement l'accent sur le partage des connaissances au sein de l'équipe grâce aux réunions de mêlée quotidiennes, s'adapte à tout projet de développement logiciel et accorde une grande importance au feedback régulier du client (Collignon et </w:t>
      </w:r>
      <w:proofErr w:type="spellStart"/>
      <w:r>
        <w:t>Schöpfel</w:t>
      </w:r>
      <w:proofErr w:type="spellEnd"/>
      <w:r>
        <w:t>, 2016). Sa principale limite est qu'elle ne prend pas facilement en compte les modifications urgentes survenant en cours de sprint.</w:t>
      </w:r>
    </w:p>
    <w:p w:rsidR="00054E90" w:rsidRDefault="00054E90" w:rsidP="00054E90">
      <w:pPr>
        <w:spacing w:before="80" w:after="80"/>
      </w:pPr>
    </w:p>
    <w:p w:rsidR="00D27C29" w:rsidRDefault="00D27C29" w:rsidP="00D27C29">
      <w:pPr>
        <w:pStyle w:val="NormalWeb"/>
        <w:jc w:val="center"/>
        <w:rPr>
          <w:b/>
          <w:bCs/>
          <w:i/>
          <w:iCs/>
          <w:sz w:val="22"/>
          <w:szCs w:val="22"/>
        </w:rPr>
      </w:pPr>
      <w:r>
        <w:rPr>
          <w:noProof/>
        </w:rPr>
        <w:drawing>
          <wp:inline distT="0" distB="0" distL="0" distR="0">
            <wp:extent cx="3000375" cy="2857500"/>
            <wp:effectExtent l="0" t="0" r="9525" b="0"/>
            <wp:docPr id="18" name="Image 18" descr="C:\Users\jordan wamba\Desktop\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ordan wamba\Desktop\C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0375" cy="2857500"/>
                    </a:xfrm>
                    <a:prstGeom prst="rect">
                      <a:avLst/>
                    </a:prstGeom>
                    <a:noFill/>
                    <a:ln>
                      <a:noFill/>
                    </a:ln>
                  </pic:spPr>
                </pic:pic>
              </a:graphicData>
            </a:graphic>
          </wp:inline>
        </w:drawing>
      </w:r>
    </w:p>
    <w:p w:rsidR="00054E90" w:rsidRDefault="00054E90" w:rsidP="00D27C29">
      <w:pPr>
        <w:pStyle w:val="NormalWeb"/>
        <w:jc w:val="center"/>
      </w:pPr>
      <w:r>
        <w:rPr>
          <w:b/>
          <w:bCs/>
          <w:i/>
          <w:iCs/>
          <w:sz w:val="22"/>
          <w:szCs w:val="22"/>
        </w:rPr>
        <w:t xml:space="preserve">Figure 2.5 : Processus SCRUM (adapté de </w:t>
      </w:r>
      <w:proofErr w:type="spellStart"/>
      <w:r>
        <w:rPr>
          <w:b/>
          <w:bCs/>
          <w:i/>
          <w:iCs/>
          <w:sz w:val="22"/>
          <w:szCs w:val="22"/>
        </w:rPr>
        <w:t>Vickoff</w:t>
      </w:r>
      <w:proofErr w:type="spellEnd"/>
      <w:r>
        <w:rPr>
          <w:b/>
          <w:bCs/>
          <w:i/>
          <w:iCs/>
          <w:sz w:val="22"/>
          <w:szCs w:val="22"/>
        </w:rPr>
        <w:t>, 2009)</w:t>
      </w:r>
    </w:p>
    <w:p w:rsidR="00D27C29" w:rsidRDefault="00D27C29" w:rsidP="00054E90">
      <w:pPr>
        <w:pStyle w:val="Titre2"/>
      </w:pPr>
    </w:p>
    <w:p w:rsidR="00D27C29" w:rsidRDefault="00D27C29" w:rsidP="00054E90">
      <w:pPr>
        <w:pStyle w:val="Titre2"/>
      </w:pPr>
    </w:p>
    <w:p w:rsidR="00054E90" w:rsidRDefault="00054E90" w:rsidP="00054E90">
      <w:pPr>
        <w:pStyle w:val="Titre2"/>
      </w:pPr>
      <w:r>
        <w:t>2.6  Modèles de développement d'un logiciel</w:t>
      </w:r>
    </w:p>
    <w:p w:rsidR="00054E90" w:rsidRDefault="00054E90" w:rsidP="00054E90">
      <w:pPr>
        <w:spacing w:before="120" w:after="120" w:line="360" w:lineRule="auto"/>
        <w:jc w:val="both"/>
      </w:pPr>
      <w:r>
        <w:t>Différentes approches ont été proposées pour encadrer le processus allant de l'analyse à la production d'un logiciel, appelées modèles de développement logiciel (Magne, 2018). Un modèle de développement logiciel est un ensemble de processus décrivant, à un niveau abstrait, les différentes manières d'organiser la production d'un logiciel (</w:t>
      </w:r>
      <w:proofErr w:type="spellStart"/>
      <w:r>
        <w:t>Lonchamp</w:t>
      </w:r>
      <w:proofErr w:type="spellEnd"/>
      <w:r>
        <w:t>, 2015). On distingue les modèles classiques ou traditionnels et les modèles agiles.</w:t>
      </w:r>
    </w:p>
    <w:p w:rsidR="00054E90" w:rsidRDefault="00054E90" w:rsidP="00054E90">
      <w:pPr>
        <w:pStyle w:val="Titre3"/>
      </w:pPr>
      <w:r>
        <w:rPr>
          <w:i/>
          <w:iCs/>
        </w:rPr>
        <w:t>2.6.1  Modèles traditionnels</w:t>
      </w:r>
    </w:p>
    <w:p w:rsidR="00054E90" w:rsidRDefault="00054E90" w:rsidP="00054E90">
      <w:pPr>
        <w:spacing w:before="120" w:after="120" w:line="360" w:lineRule="auto"/>
        <w:jc w:val="both"/>
      </w:pPr>
      <w:r>
        <w:t>Les modèles traditionnels définissent une démarche de développement séquentielle où chaque phase conduit à la production d'un ou plusieurs livrable(s). Nous présentons ici trois modèles représentatifs.</w:t>
      </w:r>
    </w:p>
    <w:p w:rsidR="00054E90" w:rsidRDefault="00054E90" w:rsidP="00054E90">
      <w:pPr>
        <w:spacing w:before="200" w:after="80"/>
      </w:pPr>
      <w:r>
        <w:rPr>
          <w:b/>
          <w:bCs/>
          <w:u w:val="single"/>
        </w:rPr>
        <w:t>a)  Le modèle en cascade</w:t>
      </w:r>
    </w:p>
    <w:p w:rsidR="00054E90" w:rsidRDefault="00054E90" w:rsidP="00054E90">
      <w:pPr>
        <w:spacing w:before="120" w:after="120" w:line="360" w:lineRule="auto"/>
        <w:jc w:val="both"/>
      </w:pPr>
      <w:r>
        <w:t>Proposé en 1970 par Winston Royce, ce modèle présente les étapes classiques d'ingénierie avec la particularité que chaque étape doit être terminée avant de passer à l'étape suivante (</w:t>
      </w:r>
      <w:proofErr w:type="spellStart"/>
      <w:r>
        <w:t>Lonchamp</w:t>
      </w:r>
      <w:proofErr w:type="spellEnd"/>
      <w:r>
        <w:t xml:space="preserve">, 2015). Les utilisateurs interviennent au début du processus pour définir les besoins, et en toute fin pour valider le système. Ce modèle a l'avantage d'être simple à comprendre et à utiliser. En revanche, il est peu adapté si les besoins du client sont changeants ou difficiles à déterminer au départ — ce qui est précisément le cas d'un projet comme </w:t>
      </w:r>
      <w:proofErr w:type="spellStart"/>
      <w:r>
        <w:t>CapAvenir</w:t>
      </w:r>
      <w:proofErr w:type="spellEnd"/>
      <w:r>
        <w:t xml:space="preserve"> CMR, où les fonctionnalités ont évolué au fil des retours des utilisateurs cibles.</w:t>
      </w:r>
    </w:p>
    <w:p w:rsidR="00054E90" w:rsidRDefault="00054E90" w:rsidP="00054E90">
      <w:pPr>
        <w:spacing w:before="80" w:after="80"/>
      </w:pPr>
    </w:p>
    <w:p w:rsidR="00D27C29" w:rsidRDefault="00D27C29" w:rsidP="00D27C29">
      <w:pPr>
        <w:pStyle w:val="NormalWeb"/>
        <w:jc w:val="center"/>
        <w:rPr>
          <w:b/>
          <w:bCs/>
          <w:i/>
          <w:iCs/>
          <w:sz w:val="22"/>
          <w:szCs w:val="22"/>
        </w:rPr>
      </w:pPr>
      <w:r>
        <w:rPr>
          <w:noProof/>
        </w:rPr>
        <w:drawing>
          <wp:inline distT="0" distB="0" distL="0" distR="0" wp14:anchorId="3DA17407" wp14:editId="75ECFC84">
            <wp:extent cx="4467225" cy="2257425"/>
            <wp:effectExtent l="0" t="0" r="9525" b="9525"/>
            <wp:docPr id="19" name="Image 19" descr="C:\Users\jordan wamba\Desktop\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ordan wamba\Desktop\C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7225" cy="2257425"/>
                    </a:xfrm>
                    <a:prstGeom prst="rect">
                      <a:avLst/>
                    </a:prstGeom>
                    <a:noFill/>
                    <a:ln>
                      <a:noFill/>
                    </a:ln>
                  </pic:spPr>
                </pic:pic>
              </a:graphicData>
            </a:graphic>
          </wp:inline>
        </w:drawing>
      </w:r>
    </w:p>
    <w:p w:rsidR="00054E90" w:rsidRDefault="00054E90" w:rsidP="00D27C29">
      <w:pPr>
        <w:pStyle w:val="NormalWeb"/>
        <w:jc w:val="center"/>
      </w:pPr>
      <w:r>
        <w:rPr>
          <w:b/>
          <w:bCs/>
          <w:i/>
          <w:iCs/>
          <w:sz w:val="22"/>
          <w:szCs w:val="22"/>
        </w:rPr>
        <w:t xml:space="preserve">Figure 2.6 : Le modèle en cascade (adapté de </w:t>
      </w:r>
      <w:proofErr w:type="spellStart"/>
      <w:r>
        <w:rPr>
          <w:b/>
          <w:bCs/>
          <w:i/>
          <w:iCs/>
          <w:sz w:val="22"/>
          <w:szCs w:val="22"/>
        </w:rPr>
        <w:t>Lonchamp</w:t>
      </w:r>
      <w:proofErr w:type="spellEnd"/>
      <w:r>
        <w:rPr>
          <w:b/>
          <w:bCs/>
          <w:i/>
          <w:iCs/>
          <w:sz w:val="22"/>
          <w:szCs w:val="22"/>
        </w:rPr>
        <w:t>, 2015)</w:t>
      </w:r>
    </w:p>
    <w:p w:rsidR="00D27C29" w:rsidRDefault="00D27C29" w:rsidP="00054E90">
      <w:pPr>
        <w:spacing w:before="200" w:after="80"/>
        <w:rPr>
          <w:b/>
          <w:bCs/>
          <w:u w:val="single"/>
        </w:rPr>
      </w:pPr>
    </w:p>
    <w:p w:rsidR="00054E90" w:rsidRDefault="00054E90" w:rsidP="00054E90">
      <w:pPr>
        <w:spacing w:before="200" w:after="80"/>
      </w:pPr>
      <w:r>
        <w:rPr>
          <w:b/>
          <w:bCs/>
          <w:u w:val="single"/>
        </w:rPr>
        <w:t>b)  Le modèle en V</w:t>
      </w:r>
    </w:p>
    <w:p w:rsidR="00054E90" w:rsidRDefault="00054E90" w:rsidP="00054E90">
      <w:pPr>
        <w:spacing w:before="120" w:after="120" w:line="360" w:lineRule="auto"/>
        <w:jc w:val="both"/>
      </w:pPr>
      <w:r>
        <w:t>Le modèle en V est une variante du modèle en cascade créée dans les années 1980. Il introduit des tests tout au long des phases de développement, exécutés en fin de processus en correspondance avec chaque phase de conception. On distingue quatre niveaux de test : le test unitaire (chaque composant pris isolément), le test d'intégration (interactions entre composants), le test de validation du système (conformité au cahier des charges), et le test d'acceptation par le client (conformité aux besoins des utilisateurs). Ce modèle présente l'avantage de placer les préoccupations de qualité au cœur de la réflexion dès les premières phases du développement et d'imposer l'idée de livrable évaluable (</w:t>
      </w:r>
      <w:proofErr w:type="spellStart"/>
      <w:r>
        <w:t>Lonchamp</w:t>
      </w:r>
      <w:proofErr w:type="spellEnd"/>
      <w:r>
        <w:t>, 2015). Comme le modèle en cascade, il demeure peu adapté aux besoins changeants.</w:t>
      </w:r>
    </w:p>
    <w:p w:rsidR="00054E90" w:rsidRDefault="00054E90" w:rsidP="00054E90">
      <w:pPr>
        <w:spacing w:before="80" w:after="80"/>
      </w:pPr>
    </w:p>
    <w:p w:rsidR="00D27C29" w:rsidRDefault="00D27C29" w:rsidP="00D27C29">
      <w:pPr>
        <w:pStyle w:val="NormalWeb"/>
        <w:jc w:val="center"/>
        <w:rPr>
          <w:b/>
          <w:bCs/>
          <w:i/>
          <w:iCs/>
          <w:sz w:val="22"/>
          <w:szCs w:val="22"/>
        </w:rPr>
      </w:pPr>
      <w:r>
        <w:rPr>
          <w:noProof/>
        </w:rPr>
        <w:drawing>
          <wp:inline distT="0" distB="0" distL="0" distR="0">
            <wp:extent cx="4038600" cy="2381250"/>
            <wp:effectExtent l="0" t="0" r="0" b="0"/>
            <wp:docPr id="20" name="Image 20" descr="C:\Users\jordan wamba\Desktop\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ordan wamba\Desktop\C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8600" cy="2381250"/>
                    </a:xfrm>
                    <a:prstGeom prst="rect">
                      <a:avLst/>
                    </a:prstGeom>
                    <a:noFill/>
                    <a:ln>
                      <a:noFill/>
                    </a:ln>
                  </pic:spPr>
                </pic:pic>
              </a:graphicData>
            </a:graphic>
          </wp:inline>
        </w:drawing>
      </w:r>
    </w:p>
    <w:p w:rsidR="00054E90" w:rsidRDefault="00054E90" w:rsidP="00D27C29">
      <w:pPr>
        <w:pStyle w:val="NormalWeb"/>
        <w:jc w:val="center"/>
      </w:pPr>
      <w:r>
        <w:rPr>
          <w:b/>
          <w:bCs/>
          <w:i/>
          <w:iCs/>
          <w:sz w:val="22"/>
          <w:szCs w:val="22"/>
        </w:rPr>
        <w:t xml:space="preserve">Figure 2.7 : Le modèle en V (adapté de </w:t>
      </w:r>
      <w:proofErr w:type="spellStart"/>
      <w:r>
        <w:rPr>
          <w:b/>
          <w:bCs/>
          <w:i/>
          <w:iCs/>
          <w:sz w:val="22"/>
          <w:szCs w:val="22"/>
        </w:rPr>
        <w:t>Lonchamp</w:t>
      </w:r>
      <w:proofErr w:type="spellEnd"/>
      <w:r>
        <w:rPr>
          <w:b/>
          <w:bCs/>
          <w:i/>
          <w:iCs/>
          <w:sz w:val="22"/>
          <w:szCs w:val="22"/>
        </w:rPr>
        <w:t>, 2015)</w:t>
      </w:r>
    </w:p>
    <w:p w:rsidR="00D27C29" w:rsidRDefault="00D27C29" w:rsidP="00054E90">
      <w:pPr>
        <w:spacing w:before="200" w:after="80"/>
        <w:rPr>
          <w:b/>
          <w:bCs/>
          <w:u w:val="single"/>
        </w:rPr>
      </w:pPr>
    </w:p>
    <w:p w:rsidR="00054E90" w:rsidRDefault="00054E90" w:rsidP="00054E90">
      <w:pPr>
        <w:spacing w:before="200" w:after="80"/>
      </w:pPr>
      <w:r>
        <w:rPr>
          <w:b/>
          <w:bCs/>
          <w:u w:val="single"/>
        </w:rPr>
        <w:t>c)  Le modèle en Y</w:t>
      </w:r>
    </w:p>
    <w:p w:rsidR="00054E90" w:rsidRDefault="00054E90" w:rsidP="00054E90">
      <w:pPr>
        <w:spacing w:before="120" w:after="120" w:line="360" w:lineRule="auto"/>
        <w:jc w:val="both"/>
      </w:pPr>
      <w:r>
        <w:t>C'est une autre variante du modèle en cascade qui distingue deux branches parallèles : l'une dédiée aux besoins fonctionnels — ce que le système doit faire — et l'autre aux besoins techniques — comment il doit le faire. Ces deux branches convergent vers la phase de réalisation (conception, codage, tests, déploiement). Il est particulièrement adapté aux projets technologiquement innovants car il permet de lever au plus tôt les incertitudes liées aux technologies à mettre en œuvre, tout en garantissant l'alignement avec les besoins fonctionnels (</w:t>
      </w:r>
      <w:proofErr w:type="spellStart"/>
      <w:r>
        <w:t>Lonchamp</w:t>
      </w:r>
      <w:proofErr w:type="spellEnd"/>
      <w:r>
        <w:t>, 2015).</w:t>
      </w:r>
    </w:p>
    <w:p w:rsidR="00054E90" w:rsidRDefault="00054E90" w:rsidP="00054E90">
      <w:pPr>
        <w:spacing w:before="80" w:after="80"/>
      </w:pPr>
    </w:p>
    <w:p w:rsidR="00B2255E" w:rsidRDefault="00B2255E" w:rsidP="00B2255E">
      <w:pPr>
        <w:pStyle w:val="NormalWeb"/>
        <w:jc w:val="center"/>
        <w:rPr>
          <w:b/>
          <w:bCs/>
          <w:i/>
          <w:iCs/>
          <w:sz w:val="22"/>
          <w:szCs w:val="22"/>
        </w:rPr>
      </w:pPr>
      <w:r>
        <w:rPr>
          <w:noProof/>
        </w:rPr>
        <w:drawing>
          <wp:inline distT="0" distB="0" distL="0" distR="0">
            <wp:extent cx="4467225" cy="2209800"/>
            <wp:effectExtent l="0" t="0" r="9525" b="0"/>
            <wp:docPr id="21" name="Image 21" descr="C:\Users\jordan wamba\Desktop\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ordan wamba\Desktop\C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7225" cy="2209800"/>
                    </a:xfrm>
                    <a:prstGeom prst="rect">
                      <a:avLst/>
                    </a:prstGeom>
                    <a:noFill/>
                    <a:ln>
                      <a:noFill/>
                    </a:ln>
                  </pic:spPr>
                </pic:pic>
              </a:graphicData>
            </a:graphic>
          </wp:inline>
        </w:drawing>
      </w:r>
    </w:p>
    <w:p w:rsidR="00054E90" w:rsidRDefault="00054E90" w:rsidP="00B2255E">
      <w:pPr>
        <w:pStyle w:val="NormalWeb"/>
        <w:jc w:val="center"/>
      </w:pPr>
      <w:r>
        <w:rPr>
          <w:b/>
          <w:bCs/>
          <w:i/>
          <w:iCs/>
          <w:sz w:val="22"/>
          <w:szCs w:val="22"/>
        </w:rPr>
        <w:t xml:space="preserve">Figure 2.8 : Le modèle en Y (adapté de </w:t>
      </w:r>
      <w:proofErr w:type="spellStart"/>
      <w:r>
        <w:rPr>
          <w:b/>
          <w:bCs/>
          <w:i/>
          <w:iCs/>
          <w:sz w:val="22"/>
          <w:szCs w:val="22"/>
        </w:rPr>
        <w:t>Lonchamp</w:t>
      </w:r>
      <w:proofErr w:type="spellEnd"/>
      <w:r>
        <w:rPr>
          <w:b/>
          <w:bCs/>
          <w:i/>
          <w:iCs/>
          <w:sz w:val="22"/>
          <w:szCs w:val="22"/>
        </w:rPr>
        <w:t>, 2015)</w:t>
      </w:r>
    </w:p>
    <w:p w:rsidR="00B2255E" w:rsidRDefault="00B2255E" w:rsidP="00054E90">
      <w:pPr>
        <w:pStyle w:val="Titre3"/>
        <w:rPr>
          <w:i/>
          <w:iCs/>
        </w:rPr>
      </w:pPr>
    </w:p>
    <w:p w:rsidR="00054E90" w:rsidRDefault="00054E90" w:rsidP="00054E90">
      <w:pPr>
        <w:pStyle w:val="Titre3"/>
      </w:pPr>
      <w:r>
        <w:rPr>
          <w:i/>
          <w:iCs/>
        </w:rPr>
        <w:t>2.6.2  Modèles agiles</w:t>
      </w:r>
    </w:p>
    <w:p w:rsidR="00054E90" w:rsidRDefault="00054E90" w:rsidP="00054E90">
      <w:pPr>
        <w:spacing w:before="120" w:after="120" w:line="360" w:lineRule="auto"/>
        <w:jc w:val="both"/>
      </w:pPr>
      <w:r>
        <w:t xml:space="preserve">Jusqu'à la fin des années 1990, les approches dominantes de développement informatique étaient fondées sur la planification séquentielle. Face aux besoins d'adaptabilité et de réactivité, les méthodes agiles ont remis en cause les approches traditionnelles (Khalil, 2011). Ces méthodes sont décrites comme itératives, incrémentales, encourageant l'auto-organisation et s'adaptant au changement. Le manifeste agile (Beck et </w:t>
      </w:r>
      <w:proofErr w:type="gramStart"/>
      <w:r>
        <w:t>al.,</w:t>
      </w:r>
      <w:proofErr w:type="gramEnd"/>
      <w:r>
        <w:t xml:space="preserve"> 2001) énonce les quatre valeurs fondamentales déjà présentées en section 2.5. Parmi les méthodes agiles, nous présentons ici les méthodes RUP, XP et SCRUM.</w:t>
      </w:r>
    </w:p>
    <w:p w:rsidR="00054E90" w:rsidRDefault="00054E90" w:rsidP="00054E90">
      <w:pPr>
        <w:spacing w:before="200" w:after="80"/>
      </w:pPr>
      <w:r>
        <w:rPr>
          <w:b/>
          <w:bCs/>
          <w:u w:val="single"/>
        </w:rPr>
        <w:t xml:space="preserve">a)  La méthode RUP (Rational </w:t>
      </w:r>
      <w:proofErr w:type="spellStart"/>
      <w:r>
        <w:rPr>
          <w:b/>
          <w:bCs/>
          <w:u w:val="single"/>
        </w:rPr>
        <w:t>Unified</w:t>
      </w:r>
      <w:proofErr w:type="spellEnd"/>
      <w:r>
        <w:rPr>
          <w:b/>
          <w:bCs/>
          <w:u w:val="single"/>
        </w:rPr>
        <w:t xml:space="preserve"> </w:t>
      </w:r>
      <w:proofErr w:type="spellStart"/>
      <w:r>
        <w:rPr>
          <w:b/>
          <w:bCs/>
          <w:u w:val="single"/>
        </w:rPr>
        <w:t>Process</w:t>
      </w:r>
      <w:proofErr w:type="spellEnd"/>
      <w:r>
        <w:rPr>
          <w:b/>
          <w:bCs/>
          <w:u w:val="single"/>
        </w:rPr>
        <w:t>)</w:t>
      </w:r>
    </w:p>
    <w:p w:rsidR="00054E90" w:rsidRDefault="00054E90" w:rsidP="00054E90">
      <w:pPr>
        <w:spacing w:before="120" w:after="120" w:line="360" w:lineRule="auto"/>
        <w:jc w:val="both"/>
      </w:pPr>
      <w:r>
        <w:t xml:space="preserve">Le Rational </w:t>
      </w:r>
      <w:proofErr w:type="spellStart"/>
      <w:r>
        <w:t>Unified</w:t>
      </w:r>
      <w:proofErr w:type="spellEnd"/>
      <w:r>
        <w:t xml:space="preserve"> </w:t>
      </w:r>
      <w:proofErr w:type="spellStart"/>
      <w:r>
        <w:t>Process</w:t>
      </w:r>
      <w:proofErr w:type="spellEnd"/>
      <w:r>
        <w:t xml:space="preserve"> (RUP), décrit par </w:t>
      </w:r>
      <w:proofErr w:type="spellStart"/>
      <w:r>
        <w:t>Kruchten</w:t>
      </w:r>
      <w:proofErr w:type="spellEnd"/>
      <w:r>
        <w:t xml:space="preserve"> (1999), met en avant sept bonnes pratiques : le développement itératif et incrémental, le développement guidé par les cas d'utilisation et centré sur l'architecture, le pilotage par les risques, la gestion des exigences, la maîtrise des modifications, l'évaluation continue de la qualité, et la modélisation visuelle avec UML. Le développement d'un logiciel passe par quatre phases : </w:t>
      </w:r>
      <w:proofErr w:type="spellStart"/>
      <w:r>
        <w:t>Inception</w:t>
      </w:r>
      <w:proofErr w:type="spellEnd"/>
      <w:r>
        <w:t xml:space="preserve"> (pré-étude), Élaboration, Construction et Transition. Chaque phase se termine par un jalon d'évaluation et de décision quant au passage à la phase suivante. Cette approche a l'avantage d'être très flexible et permet une adaptation permanente du système aux besoins réels grâce au feedback régulier des utilisateurs et des développeurs.</w:t>
      </w:r>
    </w:p>
    <w:p w:rsidR="00054E90" w:rsidRDefault="00054E90" w:rsidP="00054E90">
      <w:pPr>
        <w:spacing w:before="80" w:after="80"/>
      </w:pPr>
    </w:p>
    <w:p w:rsidR="00B2255E" w:rsidRDefault="00B2255E" w:rsidP="00B2255E">
      <w:pPr>
        <w:pStyle w:val="NormalWeb"/>
        <w:jc w:val="center"/>
        <w:rPr>
          <w:b/>
          <w:bCs/>
          <w:i/>
          <w:iCs/>
          <w:sz w:val="22"/>
          <w:szCs w:val="22"/>
        </w:rPr>
      </w:pPr>
      <w:r>
        <w:rPr>
          <w:noProof/>
        </w:rPr>
        <w:lastRenderedPageBreak/>
        <w:drawing>
          <wp:inline distT="0" distB="0" distL="0" distR="0">
            <wp:extent cx="4505325" cy="2305050"/>
            <wp:effectExtent l="0" t="0" r="9525" b="0"/>
            <wp:docPr id="22" name="Image 22" descr="C:\Users\jordan wamba\Desktop\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ordan wamba\Desktop\C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5325" cy="2305050"/>
                    </a:xfrm>
                    <a:prstGeom prst="rect">
                      <a:avLst/>
                    </a:prstGeom>
                    <a:noFill/>
                    <a:ln>
                      <a:noFill/>
                    </a:ln>
                  </pic:spPr>
                </pic:pic>
              </a:graphicData>
            </a:graphic>
          </wp:inline>
        </w:drawing>
      </w:r>
    </w:p>
    <w:p w:rsidR="00B2255E" w:rsidRDefault="00054E90" w:rsidP="00B2255E">
      <w:pPr>
        <w:pStyle w:val="NormalWeb"/>
        <w:jc w:val="center"/>
        <w:rPr>
          <w:b/>
          <w:bCs/>
          <w:i/>
          <w:iCs/>
          <w:sz w:val="22"/>
          <w:szCs w:val="22"/>
        </w:rPr>
      </w:pPr>
      <w:r>
        <w:rPr>
          <w:b/>
          <w:bCs/>
          <w:i/>
          <w:iCs/>
          <w:sz w:val="22"/>
          <w:szCs w:val="22"/>
        </w:rPr>
        <w:t xml:space="preserve">Figure 2.9 : Phases, itérations et disciplines du modèle RUP (adapté de </w:t>
      </w:r>
      <w:proofErr w:type="spellStart"/>
      <w:r>
        <w:rPr>
          <w:b/>
          <w:bCs/>
          <w:i/>
          <w:iCs/>
          <w:sz w:val="22"/>
          <w:szCs w:val="22"/>
        </w:rPr>
        <w:t>Lonchamp</w:t>
      </w:r>
      <w:proofErr w:type="spellEnd"/>
      <w:r>
        <w:rPr>
          <w:b/>
          <w:bCs/>
          <w:i/>
          <w:iCs/>
          <w:sz w:val="22"/>
          <w:szCs w:val="22"/>
        </w:rPr>
        <w:t>, 2015)</w:t>
      </w:r>
    </w:p>
    <w:p w:rsidR="00B2255E" w:rsidRPr="00B2255E" w:rsidRDefault="00B2255E" w:rsidP="00B2255E">
      <w:pPr>
        <w:pStyle w:val="NormalWeb"/>
        <w:rPr>
          <w:b/>
          <w:bCs/>
          <w:i/>
          <w:iCs/>
          <w:sz w:val="22"/>
          <w:szCs w:val="22"/>
        </w:rPr>
      </w:pPr>
      <w:r>
        <w:t>Cette approche a l’avantage d’être très flexible. Le feedback ré</w:t>
      </w:r>
      <w:r>
        <w:t>gu</w:t>
      </w:r>
      <w:r>
        <w:t>lier des utilisateurs et des dé</w:t>
      </w:r>
      <w:r>
        <w:t>veloppeurs permet une adaptation perma</w:t>
      </w:r>
      <w:r>
        <w:t>nente du système aux besoins ré</w:t>
      </w:r>
      <w:r>
        <w:t>els</w:t>
      </w:r>
    </w:p>
    <w:p w:rsidR="00054E90" w:rsidRDefault="00054E90" w:rsidP="00054E90">
      <w:pPr>
        <w:spacing w:before="200" w:after="80"/>
      </w:pPr>
      <w:r>
        <w:rPr>
          <w:b/>
          <w:bCs/>
          <w:u w:val="single"/>
        </w:rPr>
        <w:t>b)  La méthode XP (</w:t>
      </w:r>
      <w:proofErr w:type="spellStart"/>
      <w:r>
        <w:rPr>
          <w:b/>
          <w:bCs/>
          <w:u w:val="single"/>
        </w:rPr>
        <w:t>Extreme</w:t>
      </w:r>
      <w:proofErr w:type="spellEnd"/>
      <w:r>
        <w:rPr>
          <w:b/>
          <w:bCs/>
          <w:u w:val="single"/>
        </w:rPr>
        <w:t xml:space="preserve"> </w:t>
      </w:r>
      <w:proofErr w:type="spellStart"/>
      <w:r>
        <w:rPr>
          <w:b/>
          <w:bCs/>
          <w:u w:val="single"/>
        </w:rPr>
        <w:t>Programming</w:t>
      </w:r>
      <w:proofErr w:type="spellEnd"/>
      <w:r>
        <w:rPr>
          <w:b/>
          <w:bCs/>
          <w:u w:val="single"/>
        </w:rPr>
        <w:t>)</w:t>
      </w:r>
    </w:p>
    <w:p w:rsidR="00054E90" w:rsidRDefault="00054E90" w:rsidP="00054E90">
      <w:pPr>
        <w:spacing w:before="120" w:after="120" w:line="360" w:lineRule="auto"/>
        <w:jc w:val="both"/>
      </w:pPr>
      <w:r>
        <w:t xml:space="preserve">La méthode XP est considérée comme un cadre technique pour le développement agile des applications. Elle a été formalisée en 1999 par Ward Cunningham et Kent Beck. Elle met en avant quatre valeurs : la communication, la simplicité, le feedback et le courage. Son cycle de vie est composé des phases d'exploration, de planification, d'itérations vers </w:t>
      </w:r>
      <w:proofErr w:type="gramStart"/>
      <w:r>
        <w:t>la première</w:t>
      </w:r>
      <w:proofErr w:type="gramEnd"/>
      <w:r>
        <w:t xml:space="preserve"> release, de mise en production et de maintenance. La méthode XP apparaît comme la plus radicale des méthodes agiles et se révèle particulièrement efficace dans le cadre de petits projets. Elle réalise des applications de qualité grâce à la rigueur imposée sur les tests. En revanche, elle exige beaucoup de contraintes tant pour le client — qui doit déléguer une personne sur le site de développement — que pour les développeurs, notamment avec la pratique de la programmation en binôme.</w:t>
      </w:r>
    </w:p>
    <w:p w:rsidR="00B2255E" w:rsidRDefault="00B2255E" w:rsidP="00B2255E">
      <w:pPr>
        <w:spacing w:before="120" w:after="120" w:line="360" w:lineRule="auto"/>
        <w:jc w:val="center"/>
      </w:pPr>
      <w:r>
        <w:rPr>
          <w:noProof/>
        </w:rPr>
        <w:drawing>
          <wp:inline distT="0" distB="0" distL="0" distR="0" wp14:anchorId="46550206" wp14:editId="463B8A0E">
            <wp:extent cx="4686300" cy="20288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6300" cy="2028825"/>
                    </a:xfrm>
                    <a:prstGeom prst="rect">
                      <a:avLst/>
                    </a:prstGeom>
                  </pic:spPr>
                </pic:pic>
              </a:graphicData>
            </a:graphic>
          </wp:inline>
        </w:drawing>
      </w:r>
    </w:p>
    <w:p w:rsidR="00B2255E" w:rsidRDefault="00B2255E" w:rsidP="00B2255E">
      <w:pPr>
        <w:spacing w:before="120" w:after="120" w:line="360" w:lineRule="auto"/>
        <w:jc w:val="center"/>
      </w:pPr>
      <w:r w:rsidRPr="00B2255E">
        <w:rPr>
          <w:b/>
        </w:rPr>
        <w:t>Figure 2.10</w:t>
      </w:r>
      <w:r>
        <w:t xml:space="preserve"> : Les grandes lignes du cycle de vie d’un projet XP</w:t>
      </w:r>
    </w:p>
    <w:p w:rsidR="00B2255E" w:rsidRDefault="00B2255E" w:rsidP="00B2255E">
      <w:pPr>
        <w:spacing w:before="120" w:after="120" w:line="360" w:lineRule="auto"/>
      </w:pPr>
    </w:p>
    <w:p w:rsidR="00B2255E" w:rsidRDefault="00B2255E" w:rsidP="00B2255E">
      <w:pPr>
        <w:spacing w:before="120" w:after="120" w:line="360" w:lineRule="auto"/>
      </w:pPr>
      <w:r>
        <w:t>La méthode XP apparait comme la plus radicale des méthodes agiles et se révèle particuliè</w:t>
      </w:r>
      <w:r>
        <w:t>rement efficace dans le c</w:t>
      </w:r>
      <w:r>
        <w:t>adre de petits projets. Elle ré</w:t>
      </w:r>
      <w:r>
        <w:t>al</w:t>
      </w:r>
      <w:r>
        <w:t>ise des applications de qualité grâce à la rigueur imposé</w:t>
      </w:r>
      <w:r>
        <w:t xml:space="preserve">e sur les tests. Par contre, elle exige beaucoup de contraintes </w:t>
      </w:r>
      <w:r>
        <w:t>tant pour le client qui doit déléguer une personne à plein temps sur le site de dé</w:t>
      </w:r>
      <w:r>
        <w:t>veloppement d</w:t>
      </w:r>
      <w:r>
        <w:t>e l’application, que pour le dé</w:t>
      </w:r>
      <w:r>
        <w:t>veloppeur</w:t>
      </w:r>
      <w:r>
        <w:t xml:space="preserve"> avec la pratique de la programmation en binôme</w:t>
      </w:r>
      <w:r>
        <w:t xml:space="preserve"> qui n’est pas toujours bien ressentie</w:t>
      </w:r>
      <w:r>
        <w:t>.</w:t>
      </w:r>
    </w:p>
    <w:p w:rsidR="00054E90" w:rsidRDefault="00054E90" w:rsidP="00054E90">
      <w:pPr>
        <w:spacing w:before="200" w:after="80"/>
      </w:pPr>
      <w:r>
        <w:rPr>
          <w:b/>
          <w:bCs/>
          <w:u w:val="single"/>
        </w:rPr>
        <w:t>c)  La méthode SCRUM</w:t>
      </w:r>
    </w:p>
    <w:p w:rsidR="00054E90" w:rsidRDefault="00054E90" w:rsidP="00054E90">
      <w:pPr>
        <w:spacing w:before="120" w:after="120" w:line="360" w:lineRule="auto"/>
        <w:jc w:val="both"/>
      </w:pPr>
      <w:r>
        <w:t>Développée en 1993 et décrite en détail dans le SBOK Guide (</w:t>
      </w:r>
      <w:proofErr w:type="spellStart"/>
      <w:r>
        <w:t>Satpathy</w:t>
      </w:r>
      <w:proofErr w:type="spellEnd"/>
      <w:r>
        <w:t>, 2016), SCRUM qualifie un ensemble de rôles, d'instruments de gestion et de pratiques managériales favorisant un environnement fondé sur la transparence, l'inspection, le suivi et l'adaptation. Le cycle de vie d'un projet SCRUM se divise en trois parties : la phase d'initiation, la phase de sprints (itérations de 2 à 4 semaines), et la phase de clôture. La force de cette méthode est qu'elle s'adapte à tout projet de développement logiciel et accorde une très grande importance au partage des connaissances au sein de l'équipe grâce aux réunions journalières. Sa principale faiblesse est qu'elle ne prend pas facilement en compte les modifications urgentes survenant en cours de sprint.</w:t>
      </w:r>
    </w:p>
    <w:p w:rsidR="00B2255E" w:rsidRDefault="00B2255E" w:rsidP="00B2255E">
      <w:pPr>
        <w:pStyle w:val="NormalWeb"/>
        <w:jc w:val="center"/>
      </w:pPr>
      <w:r>
        <w:rPr>
          <w:noProof/>
        </w:rPr>
        <w:drawing>
          <wp:inline distT="0" distB="0" distL="0" distR="0">
            <wp:extent cx="4724400" cy="2333625"/>
            <wp:effectExtent l="0" t="0" r="0" b="9525"/>
            <wp:docPr id="23" name="Image 23" descr="C:\Users\jordan wamba\Desktop\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ordan wamba\Desktop\C1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2333625"/>
                    </a:xfrm>
                    <a:prstGeom prst="rect">
                      <a:avLst/>
                    </a:prstGeom>
                    <a:noFill/>
                    <a:ln>
                      <a:noFill/>
                    </a:ln>
                  </pic:spPr>
                </pic:pic>
              </a:graphicData>
            </a:graphic>
          </wp:inline>
        </w:drawing>
      </w:r>
    </w:p>
    <w:p w:rsidR="00E7211C" w:rsidRDefault="00E7211C" w:rsidP="00B2255E">
      <w:pPr>
        <w:pStyle w:val="NormalWeb"/>
        <w:jc w:val="center"/>
      </w:pPr>
      <w:r w:rsidRPr="00E7211C">
        <w:rPr>
          <w:b/>
        </w:rPr>
        <w:t>Figure 2.11</w:t>
      </w:r>
      <w:r>
        <w:t xml:space="preserve"> : La mé</w:t>
      </w:r>
      <w:r>
        <w:t>thode SCRUM source (</w:t>
      </w:r>
      <w:proofErr w:type="spellStart"/>
      <w:r>
        <w:t>Vickoff</w:t>
      </w:r>
      <w:proofErr w:type="spellEnd"/>
      <w:r>
        <w:t>, 2009)</w:t>
      </w:r>
    </w:p>
    <w:p w:rsidR="00B2255E" w:rsidRDefault="00E7211C" w:rsidP="00E7211C">
      <w:pPr>
        <w:spacing w:before="120" w:after="120" w:line="360" w:lineRule="auto"/>
      </w:pPr>
      <w:r>
        <w:t>La force de cette méthode est qu’elle s’adapte à tout projet de dé</w:t>
      </w:r>
      <w:r>
        <w:t>veloppem</w:t>
      </w:r>
      <w:r>
        <w:t>ent logiciel et accorde une trè</w:t>
      </w:r>
      <w:r>
        <w:t>s grande importance au partage de</w:t>
      </w:r>
      <w:r>
        <w:t>s connaissances au sein de l’équipe grâce aux réunions journalières .</w:t>
      </w:r>
      <w:r>
        <w:t>Sa principale faiblesse est qu’elle ne prend pas en compte des modifications urgentes au cours du Sprint</w:t>
      </w:r>
    </w:p>
    <w:p w:rsidR="00E7211C" w:rsidRDefault="00E7211C" w:rsidP="00054E90">
      <w:pPr>
        <w:pStyle w:val="Titre3"/>
        <w:rPr>
          <w:i/>
          <w:iCs/>
        </w:rPr>
      </w:pPr>
    </w:p>
    <w:p w:rsidR="00054E90" w:rsidRDefault="00054E90" w:rsidP="00054E90">
      <w:pPr>
        <w:pStyle w:val="Titre3"/>
      </w:pPr>
      <w:r>
        <w:rPr>
          <w:i/>
          <w:iCs/>
        </w:rPr>
        <w:t>2.6.3  Tableau comparatif des méthodes XP, SCRUM et RUP</w:t>
      </w:r>
    </w:p>
    <w:p w:rsidR="00054E90" w:rsidRDefault="00054E90" w:rsidP="00054E90">
      <w:pPr>
        <w:spacing w:before="120" w:after="120" w:line="360" w:lineRule="auto"/>
        <w:jc w:val="both"/>
      </w:pPr>
      <w:r>
        <w:t xml:space="preserve">D'après </w:t>
      </w:r>
      <w:proofErr w:type="spellStart"/>
      <w:r>
        <w:t>Lonchamp</w:t>
      </w:r>
      <w:proofErr w:type="spellEnd"/>
      <w:r>
        <w:t xml:space="preserve"> (2015), le signe « + » dans le tableau ci-dessous indique qu'une méthode répond à la caractéristique correspondante, tandis que le signe « ++ » signifie qu'elle y répond de manière privilégiée.</w:t>
      </w:r>
    </w:p>
    <w:p w:rsidR="00054E90" w:rsidRDefault="00054E90" w:rsidP="00054E90">
      <w:pPr>
        <w:spacing w:before="80" w:after="80"/>
      </w:pPr>
    </w:p>
    <w:p w:rsidR="00E7211C" w:rsidRDefault="00E7211C" w:rsidP="00E7211C">
      <w:pPr>
        <w:pStyle w:val="NormalWeb"/>
        <w:jc w:val="center"/>
      </w:pPr>
      <w:r>
        <w:rPr>
          <w:noProof/>
        </w:rPr>
        <w:drawing>
          <wp:inline distT="0" distB="0" distL="0" distR="0">
            <wp:extent cx="6086475" cy="4076700"/>
            <wp:effectExtent l="0" t="0" r="9525" b="0"/>
            <wp:docPr id="24" name="Image 24" descr="C:\Users\jordan wamba\Desktop\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ordan wamba\Desktop\C1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6475" cy="4076700"/>
                    </a:xfrm>
                    <a:prstGeom prst="rect">
                      <a:avLst/>
                    </a:prstGeom>
                    <a:noFill/>
                    <a:ln>
                      <a:noFill/>
                    </a:ln>
                  </pic:spPr>
                </pic:pic>
              </a:graphicData>
            </a:graphic>
          </wp:inline>
        </w:drawing>
      </w:r>
    </w:p>
    <w:p w:rsidR="00054E90" w:rsidRDefault="00054E90" w:rsidP="00E7211C">
      <w:pPr>
        <w:spacing w:before="40" w:after="180"/>
        <w:jc w:val="center"/>
        <w:rPr>
          <w:b/>
          <w:bCs/>
          <w:i/>
          <w:iCs/>
          <w:sz w:val="22"/>
          <w:szCs w:val="22"/>
        </w:rPr>
      </w:pPr>
      <w:r>
        <w:rPr>
          <w:b/>
          <w:bCs/>
          <w:i/>
          <w:iCs/>
          <w:sz w:val="22"/>
          <w:szCs w:val="22"/>
        </w:rPr>
        <w:t>Tableau 2.1 : Comparaison des méthodes XP, SCRUM et RUP</w:t>
      </w:r>
    </w:p>
    <w:p w:rsidR="00E7211C" w:rsidRDefault="00E7211C" w:rsidP="00E7211C">
      <w:pPr>
        <w:spacing w:before="40" w:after="180"/>
        <w:jc w:val="center"/>
        <w:rPr>
          <w:b/>
          <w:bCs/>
          <w:i/>
          <w:iCs/>
          <w:sz w:val="22"/>
          <w:szCs w:val="22"/>
        </w:rPr>
      </w:pPr>
    </w:p>
    <w:p w:rsidR="00E7211C" w:rsidRDefault="00E7211C" w:rsidP="00E7211C">
      <w:pPr>
        <w:spacing w:before="40" w:after="180"/>
      </w:pPr>
      <w:r>
        <w:t xml:space="preserve">Lors de la conception d’un outil, il est </w:t>
      </w:r>
      <w:r>
        <w:t>important de s’assurer de sa nécessité et de la facilité</w:t>
      </w:r>
      <w:r>
        <w:t xml:space="preserve"> d’utilisation de celui-ci par son futur utilisateur. Ainsi, afin d’optimiser l’utilisation de notre plateforme pa</w:t>
      </w:r>
      <w:r>
        <w:t>r le public cible, il serait né</w:t>
      </w:r>
      <w:r>
        <w:t>cessaire de prendre en co</w:t>
      </w:r>
      <w:r>
        <w:t xml:space="preserve">mpte les facteurs ` à </w:t>
      </w:r>
      <w:r>
        <w:t>l’ergonomie des interfaces Homme-Machine</w:t>
      </w:r>
    </w:p>
    <w:p w:rsidR="00054E90" w:rsidRDefault="00054E90" w:rsidP="00054E90">
      <w:pPr>
        <w:pStyle w:val="Titre2"/>
      </w:pPr>
      <w:r>
        <w:t>2.7  Ergonomie des Interfaces Homme-Machine (IHM)</w:t>
      </w:r>
    </w:p>
    <w:p w:rsidR="00054E90" w:rsidRDefault="00054E90" w:rsidP="00054E90">
      <w:pPr>
        <w:spacing w:before="120" w:after="120" w:line="360" w:lineRule="auto"/>
        <w:jc w:val="both"/>
      </w:pPr>
      <w:r>
        <w:t xml:space="preserve">Selon le dictionnaire Larousse (2015), l'ergonomie est l'étude scientifique des conditions psychophysiologiques et socio-économiques de travail et des relations entre l'homme et la machine. La qualité d'une application pédagogique comme </w:t>
      </w:r>
      <w:proofErr w:type="spellStart"/>
      <w:r>
        <w:t>CapAvenir</w:t>
      </w:r>
      <w:proofErr w:type="spellEnd"/>
      <w:r>
        <w:t xml:space="preserve"> CMR ne repose pas uniquement sur la robustesse de ses algorithmes : elle dépend aussi de la facilité avec laquelle </w:t>
      </w:r>
      <w:r>
        <w:lastRenderedPageBreak/>
        <w:t>ses utilisateurs — des élèves de Troisième, des parents et des conseillers d'orientation aux niveaux très variés de familiarité avec les outils numériques — peuvent en exploiter pleinement les fonctionnalités. Dans cette section, nous présentons les critères ergonomiques retenus ainsi que les méthodes d'évaluation utilisées.</w:t>
      </w:r>
    </w:p>
    <w:p w:rsidR="00054E90" w:rsidRDefault="00054E90" w:rsidP="00054E90">
      <w:pPr>
        <w:pStyle w:val="Titre3"/>
      </w:pPr>
      <w:r>
        <w:rPr>
          <w:i/>
          <w:iCs/>
        </w:rPr>
        <w:t>2.7.1  Les critères de conception ergonomique</w:t>
      </w:r>
    </w:p>
    <w:p w:rsidR="00054E90" w:rsidRDefault="00054E90" w:rsidP="00054E90">
      <w:pPr>
        <w:spacing w:before="120" w:after="120" w:line="360" w:lineRule="auto"/>
        <w:jc w:val="both"/>
      </w:pPr>
      <w:r>
        <w:t xml:space="preserve">Bastien et Scapin (1993) ont procédé à la synthèse d'environ 900 recommandations en ergonomie informatique, élaborant ainsi un référentiel de huit critères ergonomiques qui permettent d'évaluer rapidement les défauts d'une interface et de les corriger (Belaud, 2011). Ces huit critères guident directement les choix de conception de </w:t>
      </w:r>
      <w:proofErr w:type="spellStart"/>
      <w:r>
        <w:t>CapAvenir</w:t>
      </w:r>
      <w:proofErr w:type="spellEnd"/>
      <w:r>
        <w:t xml:space="preserve"> CMR :</w:t>
      </w:r>
    </w:p>
    <w:p w:rsidR="00054E90" w:rsidRDefault="00054E90" w:rsidP="00054E90">
      <w:pPr>
        <w:pStyle w:val="Paragraphedeliste"/>
        <w:numPr>
          <w:ilvl w:val="0"/>
          <w:numId w:val="4"/>
        </w:numPr>
        <w:spacing w:before="80" w:after="80" w:line="340" w:lineRule="auto"/>
      </w:pPr>
      <w:r>
        <w:rPr>
          <w:b/>
          <w:bCs/>
        </w:rPr>
        <w:t xml:space="preserve">La </w:t>
      </w:r>
      <w:proofErr w:type="spellStart"/>
      <w:r>
        <w:rPr>
          <w:b/>
          <w:bCs/>
        </w:rPr>
        <w:t>guidabilité</w:t>
      </w:r>
      <w:proofErr w:type="spellEnd"/>
      <w:r>
        <w:rPr>
          <w:b/>
          <w:bCs/>
        </w:rPr>
        <w:t xml:space="preserve"> : </w:t>
      </w:r>
      <w:r>
        <w:t xml:space="preserve">ensemble des moyens mis en œuvre pour conseiller, orienter et conduire l'utilisateur lors de ses interactions. Dans </w:t>
      </w:r>
      <w:proofErr w:type="spellStart"/>
      <w:r>
        <w:t>CapAvenir</w:t>
      </w:r>
      <w:proofErr w:type="spellEnd"/>
      <w:r>
        <w:t xml:space="preserve"> CMR, cela se traduit par une barre de progression visuelle à cinq étapes (Profil → Notes → Tests → Diagnostic → Fiche) avec indication des étapes complétées.</w:t>
      </w:r>
    </w:p>
    <w:p w:rsidR="00054E90" w:rsidRDefault="00054E90" w:rsidP="00054E90">
      <w:pPr>
        <w:pStyle w:val="Paragraphedeliste"/>
        <w:numPr>
          <w:ilvl w:val="0"/>
          <w:numId w:val="4"/>
        </w:numPr>
        <w:spacing w:before="80" w:after="80" w:line="340" w:lineRule="auto"/>
      </w:pPr>
      <w:r>
        <w:rPr>
          <w:b/>
          <w:bCs/>
        </w:rPr>
        <w:t xml:space="preserve">La charge de travail : </w:t>
      </w:r>
      <w:r>
        <w:t xml:space="preserve">éléments de l'interface réduisant la charge perceptive et physique de l'utilisateur. Tous les calculs de moyennes, d'étalonnage, de SA et de LA sont entièrement automatisés dans </w:t>
      </w:r>
      <w:proofErr w:type="spellStart"/>
      <w:r>
        <w:t>CapAvenir</w:t>
      </w:r>
      <w:proofErr w:type="spellEnd"/>
      <w:r>
        <w:t xml:space="preserve"> CMR.</w:t>
      </w:r>
    </w:p>
    <w:p w:rsidR="00054E90" w:rsidRDefault="00054E90" w:rsidP="00054E90">
      <w:pPr>
        <w:pStyle w:val="Paragraphedeliste"/>
        <w:numPr>
          <w:ilvl w:val="0"/>
          <w:numId w:val="4"/>
        </w:numPr>
        <w:spacing w:before="80" w:after="80" w:line="340" w:lineRule="auto"/>
      </w:pPr>
      <w:r>
        <w:rPr>
          <w:b/>
          <w:bCs/>
        </w:rPr>
        <w:t xml:space="preserve">Le contrôle explicite : </w:t>
      </w:r>
      <w:r>
        <w:t>prise en compte par le système des seules actions explicitement demandées. La case à cocher pour activer T2 et T3, le choix du mode de passation des tests, et le bouton de génération de la fiche PDF répondent à ce critère.</w:t>
      </w:r>
    </w:p>
    <w:p w:rsidR="00054E90" w:rsidRDefault="00054E90" w:rsidP="00054E90">
      <w:pPr>
        <w:pStyle w:val="Paragraphedeliste"/>
        <w:numPr>
          <w:ilvl w:val="0"/>
          <w:numId w:val="4"/>
        </w:numPr>
        <w:spacing w:before="80" w:after="80" w:line="340" w:lineRule="auto"/>
      </w:pPr>
      <w:r>
        <w:rPr>
          <w:b/>
          <w:bCs/>
        </w:rPr>
        <w:t xml:space="preserve">L'adaptabilité : </w:t>
      </w:r>
      <w:r>
        <w:t>capacité du système à réagir selon le contexte et les besoins des utilisateurs. Le mode Conseiller, qui déverrouille des informations supplémentaires (scores bruts, deltas, troisième trace radar), différencie l'expérience selon le rôle de l'utilisateur.</w:t>
      </w:r>
    </w:p>
    <w:p w:rsidR="00054E90" w:rsidRDefault="00054E90" w:rsidP="00054E90">
      <w:pPr>
        <w:pStyle w:val="Paragraphedeliste"/>
        <w:numPr>
          <w:ilvl w:val="0"/>
          <w:numId w:val="4"/>
        </w:numPr>
        <w:spacing w:before="80" w:after="80" w:line="340" w:lineRule="auto"/>
      </w:pPr>
      <w:r>
        <w:rPr>
          <w:b/>
          <w:bCs/>
        </w:rPr>
        <w:t xml:space="preserve">La gestion des erreurs : </w:t>
      </w:r>
      <w:r>
        <w:t>ensemble des moyens permettant d'éviter ou de réduire les erreurs et de les corriger. Les alertes contextuelles (score de confiance faible, statuts En Attente ou Probation, détection de conflits de profil) remplissent cette fonction.</w:t>
      </w:r>
    </w:p>
    <w:p w:rsidR="00054E90" w:rsidRDefault="00054E90" w:rsidP="00054E90">
      <w:pPr>
        <w:pStyle w:val="Paragraphedeliste"/>
        <w:numPr>
          <w:ilvl w:val="0"/>
          <w:numId w:val="4"/>
        </w:numPr>
        <w:spacing w:before="80" w:after="80" w:line="340" w:lineRule="auto"/>
      </w:pPr>
      <w:r>
        <w:rPr>
          <w:b/>
          <w:bCs/>
        </w:rPr>
        <w:t xml:space="preserve">L'homogénéité et la cohérence : </w:t>
      </w:r>
      <w:r>
        <w:t xml:space="preserve">conserver pour des contextes différents la même conception d'interface. La charte graphique unifiée de </w:t>
      </w:r>
      <w:proofErr w:type="spellStart"/>
      <w:r>
        <w:t>CapAvenir</w:t>
      </w:r>
      <w:proofErr w:type="spellEnd"/>
      <w:r>
        <w:t xml:space="preserve"> CMR (dégradé tricolore bleu-violet-vert, six styles d'alertes standardisés, bulles de chat distinctives) assure cette cohérence visuelle.</w:t>
      </w:r>
    </w:p>
    <w:p w:rsidR="00054E90" w:rsidRDefault="00054E90" w:rsidP="00054E90">
      <w:pPr>
        <w:pStyle w:val="Paragraphedeliste"/>
        <w:numPr>
          <w:ilvl w:val="0"/>
          <w:numId w:val="4"/>
        </w:numPr>
        <w:spacing w:before="80" w:after="80" w:line="340" w:lineRule="auto"/>
      </w:pPr>
      <w:r>
        <w:rPr>
          <w:b/>
          <w:bCs/>
        </w:rPr>
        <w:lastRenderedPageBreak/>
        <w:t xml:space="preserve">La signification des codes et dénominations : </w:t>
      </w:r>
      <w:r>
        <w:t>adéquation entre l'objet affiché et son référent. Les libellés SA, LA, les cinq statuts d'orientation et le score de confiance en pourcentage sont définis et expliqués directement dans l'interface.</w:t>
      </w:r>
    </w:p>
    <w:p w:rsidR="00054E90" w:rsidRDefault="00054E90" w:rsidP="00054E90">
      <w:pPr>
        <w:pStyle w:val="Paragraphedeliste"/>
        <w:numPr>
          <w:ilvl w:val="0"/>
          <w:numId w:val="4"/>
        </w:numPr>
        <w:spacing w:before="80" w:after="80" w:line="340" w:lineRule="auto"/>
      </w:pPr>
      <w:r>
        <w:rPr>
          <w:b/>
          <w:bCs/>
        </w:rPr>
        <w:t xml:space="preserve">La compatibilité : </w:t>
      </w:r>
      <w:r>
        <w:t>accord entre les caractéristiques des utilisateurs, leurs attentes et les tâches proposées. Une attention particulière a été portée à la simplicité du vocabulaire utilisé, pour des élèves et des parents aux niveaux d'alphabétisation numérique variés.</w:t>
      </w:r>
    </w:p>
    <w:p w:rsidR="00054E90" w:rsidRDefault="00054E90" w:rsidP="00054E90">
      <w:pPr>
        <w:pStyle w:val="Titre3"/>
      </w:pPr>
      <w:r>
        <w:rPr>
          <w:i/>
          <w:iCs/>
        </w:rPr>
        <w:t>2.7.2  Les méthodes d'évaluation ergonomique</w:t>
      </w:r>
    </w:p>
    <w:p w:rsidR="00054E90" w:rsidRDefault="00054E90" w:rsidP="00054E90">
      <w:pPr>
        <w:spacing w:before="120" w:after="120" w:line="360" w:lineRule="auto"/>
        <w:jc w:val="both"/>
      </w:pPr>
      <w:r>
        <w:t xml:space="preserve">Deux grandes familles de méthodes permettent d'évaluer l'ergonomie d'une application. Les tests utilisateurs impliquent des utilisateurs réels accomplissant des tâches représentatives sous observation, permettant d'identifier empiriquement les difficultés réelles. Les méthodes d'inspection ergonomique s'appuient sur l'expertise d'évaluateurs spécialisés appliquant des critères standardisés à l'interface (Nielsen, 1994). Dans le cadre de ce travail, nous avons combiné ces deux approches : une inspection heuristique sur la base du référentiel de Bastien et Scapin (1993) et des sessions d'observation d'utilisateurs </w:t>
      </w:r>
      <w:proofErr w:type="gramStart"/>
      <w:r>
        <w:t>cibles</w:t>
      </w:r>
      <w:proofErr w:type="gramEnd"/>
      <w:r>
        <w:t xml:space="preserve"> — élèves de Troisième et conseillers d'orientati</w:t>
      </w:r>
      <w:r w:rsidR="00E7211C">
        <w:t xml:space="preserve">on du Lycée Bilingue de </w:t>
      </w:r>
      <w:proofErr w:type="spellStart"/>
      <w:r w:rsidR="00E7211C">
        <w:t>Mendong</w:t>
      </w:r>
      <w:proofErr w:type="spellEnd"/>
      <w:r>
        <w:t>.</w:t>
      </w:r>
    </w:p>
    <w:p w:rsidR="00054E90" w:rsidRDefault="00054E90" w:rsidP="00054E90">
      <w:pPr>
        <w:pStyle w:val="Titre3"/>
      </w:pPr>
      <w:r>
        <w:rPr>
          <w:i/>
          <w:iCs/>
        </w:rPr>
        <w:t>2.7.3  Les supports numériques dans l'orientation scolaire</w:t>
      </w:r>
    </w:p>
    <w:p w:rsidR="00054E90" w:rsidRDefault="00054E90" w:rsidP="00054E90">
      <w:pPr>
        <w:spacing w:before="200" w:after="80"/>
      </w:pPr>
      <w:r>
        <w:rPr>
          <w:b/>
          <w:bCs/>
          <w:u w:val="single"/>
        </w:rPr>
        <w:t>2.7.3.1  La place des TICE dans l'orientation scolaire</w:t>
      </w:r>
    </w:p>
    <w:p w:rsidR="00054E90" w:rsidRDefault="00054E90" w:rsidP="00054E90">
      <w:pPr>
        <w:spacing w:before="120" w:after="120" w:line="360" w:lineRule="auto"/>
        <w:jc w:val="both"/>
      </w:pPr>
      <w:r>
        <w:t>Les Technologies de l'Information et de la Communication pour l'Enseignement (TICE) occupent une place centrale dans la transformation numérique de l'éducation. D'après Aubenas (2014), elles englobent un ensemble d'outils informatiques, logiciels et multimédias utilisables aussi bien pour enseigner que pour suivre et orienter les élèves. Dans le contexte de l'orientation scolaire, les TICE facilitent la gestion numérique des données psychométriques, l'analyse automatisée des performances scolaires et la production de recommandations personnalisées en temps réel. Elles permettent également une restitution immédiate des résultats à l'élève, aux parents et au conseiller, favorisant ainsi une réactivité du processus d'orientation qui est impossible avec les outils papier traditionnels.</w:t>
      </w:r>
    </w:p>
    <w:p w:rsidR="00054E90" w:rsidRDefault="00054E90" w:rsidP="00054E90">
      <w:pPr>
        <w:spacing w:before="200" w:after="80"/>
      </w:pPr>
      <w:r>
        <w:rPr>
          <w:b/>
          <w:bCs/>
          <w:u w:val="single"/>
        </w:rPr>
        <w:t>2.7.3.2  Classification des outils numériques pour l'orientation scolaire</w:t>
      </w:r>
    </w:p>
    <w:p w:rsidR="00054E90" w:rsidRDefault="00054E90" w:rsidP="00054E90">
      <w:pPr>
        <w:spacing w:before="120" w:after="120" w:line="360" w:lineRule="auto"/>
        <w:jc w:val="both"/>
      </w:pPr>
      <w:r>
        <w:t xml:space="preserve">Selon </w:t>
      </w:r>
      <w:proofErr w:type="spellStart"/>
      <w:r>
        <w:t>Vries</w:t>
      </w:r>
      <w:proofErr w:type="spellEnd"/>
      <w:r>
        <w:t xml:space="preserve"> (2001), les outils numériques éducatifs présentent une grande diversité fonctionnelle. En matière d'orientation scolaire, on peut les catégoriser selon leur usage principal : outils d'information (portails documentaires sur les filières et les métiers), outils d'évaluation (batteries de tests psychotechniques en ligne), outils de simulation (exploration </w:t>
      </w:r>
      <w:r>
        <w:lastRenderedPageBreak/>
        <w:t xml:space="preserve">de cursus et de métiers), et outils de recommandation (systèmes experts ou à base d'apprentissage automatique). </w:t>
      </w:r>
      <w:proofErr w:type="spellStart"/>
      <w:r>
        <w:t>CapAvenir</w:t>
      </w:r>
      <w:proofErr w:type="spellEnd"/>
      <w:r>
        <w:t xml:space="preserve"> CMR se positionne simultanément dans les catégories évaluation et recommandation, en combinant une évaluation psychotechnique guidée (192 questions réparties en 5 tests) et un système automatisé de recommandation de série.</w:t>
      </w:r>
    </w:p>
    <w:p w:rsidR="00054E90" w:rsidRDefault="00054E90" w:rsidP="00054E90">
      <w:pPr>
        <w:spacing w:before="200" w:after="80"/>
      </w:pPr>
      <w:r>
        <w:rPr>
          <w:b/>
          <w:bCs/>
          <w:u w:val="single"/>
        </w:rPr>
        <w:t>2.7.3.3  Exemples d'outils numériques adaptés à l'orientation scolaire</w:t>
      </w:r>
    </w:p>
    <w:p w:rsidR="00054E90" w:rsidRDefault="00054E90" w:rsidP="00054E90">
      <w:pPr>
        <w:spacing w:before="120" w:after="120" w:line="360" w:lineRule="auto"/>
        <w:jc w:val="both"/>
      </w:pPr>
      <w:r>
        <w:t>Parmi les outils numériques utilisés dans le cadre de l'orientation scolaire, on peut citer :</w:t>
      </w:r>
    </w:p>
    <w:p w:rsidR="00054E90" w:rsidRDefault="00054E90" w:rsidP="00054E90">
      <w:pPr>
        <w:pStyle w:val="Paragraphedeliste"/>
        <w:numPr>
          <w:ilvl w:val="0"/>
          <w:numId w:val="4"/>
        </w:numPr>
        <w:spacing w:before="80" w:after="80" w:line="340" w:lineRule="auto"/>
      </w:pPr>
      <w:r>
        <w:rPr>
          <w:b/>
          <w:bCs/>
        </w:rPr>
        <w:t xml:space="preserve">Les registres numériques de notes : </w:t>
      </w:r>
      <w:r>
        <w:t xml:space="preserve">permettent la saisie et le calcul automatique des moyennes trimestrielles, donnant accès aux données scolaires nécessaires à l'orientation. </w:t>
      </w:r>
      <w:proofErr w:type="spellStart"/>
      <w:r>
        <w:t>CapAvenir</w:t>
      </w:r>
      <w:proofErr w:type="spellEnd"/>
      <w:r>
        <w:t xml:space="preserve"> CMR intègre ce module pour les trois trimestres de l'année de Troisième.</w:t>
      </w:r>
    </w:p>
    <w:p w:rsidR="00054E90" w:rsidRDefault="00054E90" w:rsidP="00054E90">
      <w:pPr>
        <w:pStyle w:val="Paragraphedeliste"/>
        <w:numPr>
          <w:ilvl w:val="0"/>
          <w:numId w:val="4"/>
        </w:numPr>
        <w:spacing w:before="80" w:after="80" w:line="340" w:lineRule="auto"/>
      </w:pPr>
      <w:r>
        <w:rPr>
          <w:b/>
          <w:bCs/>
        </w:rPr>
        <w:t xml:space="preserve">Les batteries de tests psychotechniques en ligne : </w:t>
      </w:r>
      <w:r>
        <w:t xml:space="preserve">permettent l'administration standardisée des épreuves d'aptitude avec calcul automatique des scores bruts et leur étalonnage. C'est le cœur du module psychotechnique de </w:t>
      </w:r>
      <w:proofErr w:type="spellStart"/>
      <w:r>
        <w:t>CapAvenir</w:t>
      </w:r>
      <w:proofErr w:type="spellEnd"/>
      <w:r>
        <w:t xml:space="preserve"> CMR.</w:t>
      </w:r>
    </w:p>
    <w:p w:rsidR="00054E90" w:rsidRDefault="00054E90" w:rsidP="00054E90">
      <w:pPr>
        <w:pStyle w:val="Paragraphedeliste"/>
        <w:numPr>
          <w:ilvl w:val="0"/>
          <w:numId w:val="4"/>
        </w:numPr>
        <w:spacing w:before="80" w:after="80" w:line="340" w:lineRule="auto"/>
      </w:pPr>
      <w:r>
        <w:rPr>
          <w:b/>
          <w:bCs/>
        </w:rPr>
        <w:t xml:space="preserve">Les moteurs de recommandation d'orientation : </w:t>
      </w:r>
      <w:r>
        <w:t xml:space="preserve">croisent automatiquement les données scolaires et psychotechniques de l'élève avec les critères des filières pour produire une recommandation assortie d'un niveau de confiance. </w:t>
      </w:r>
      <w:proofErr w:type="spellStart"/>
      <w:r>
        <w:t>CapAvenir</w:t>
      </w:r>
      <w:proofErr w:type="spellEnd"/>
      <w:r>
        <w:t xml:space="preserve"> CMR calcule un score de confiance en pourcentage avec cinq statuts possibles.</w:t>
      </w:r>
    </w:p>
    <w:p w:rsidR="00054E90" w:rsidRDefault="00054E90" w:rsidP="00054E90">
      <w:pPr>
        <w:pStyle w:val="Paragraphedeliste"/>
        <w:numPr>
          <w:ilvl w:val="0"/>
          <w:numId w:val="4"/>
        </w:numPr>
        <w:spacing w:before="80" w:after="80" w:line="340" w:lineRule="auto"/>
      </w:pPr>
      <w:r>
        <w:rPr>
          <w:b/>
          <w:bCs/>
        </w:rPr>
        <w:t xml:space="preserve">Les agents conversationnels pédagogiques : </w:t>
      </w:r>
      <w:r>
        <w:t xml:space="preserve">permettent un dialogue personnalisé avec l'élève en cas de profil ambigu ou conflictuel. L'agent IA de </w:t>
      </w:r>
      <w:proofErr w:type="spellStart"/>
      <w:r>
        <w:t>CapAvenir</w:t>
      </w:r>
      <w:proofErr w:type="spellEnd"/>
      <w:r>
        <w:t xml:space="preserve"> CMR se déclenche automatiquement pour les cas du « Rêveur » et du « Décalé ».</w:t>
      </w:r>
    </w:p>
    <w:p w:rsidR="00054E90" w:rsidRDefault="00054E90" w:rsidP="00054E90">
      <w:pPr>
        <w:pStyle w:val="Paragraphedeliste"/>
        <w:numPr>
          <w:ilvl w:val="0"/>
          <w:numId w:val="4"/>
        </w:numPr>
        <w:spacing w:before="80" w:after="80" w:line="340" w:lineRule="auto"/>
      </w:pPr>
      <w:r>
        <w:rPr>
          <w:b/>
          <w:bCs/>
        </w:rPr>
        <w:t xml:space="preserve">Les tableaux de bord parentaux et les fiches officielles : </w:t>
      </w:r>
      <w:r>
        <w:t xml:space="preserve">permettent aux parents de consulter les résultats de l'orientation de leur enfant. </w:t>
      </w:r>
      <w:proofErr w:type="spellStart"/>
      <w:r>
        <w:t>CapAvenir</w:t>
      </w:r>
      <w:proofErr w:type="spellEnd"/>
      <w:r>
        <w:t xml:space="preserve"> CMR génère automatiquement une fiche PDF bilingue FR/EN au format officiel camerounais.</w:t>
      </w:r>
    </w:p>
    <w:p w:rsidR="00054E90" w:rsidRDefault="00054E90" w:rsidP="00054E90">
      <w:pPr>
        <w:spacing w:before="200" w:after="80"/>
      </w:pPr>
      <w:r>
        <w:rPr>
          <w:b/>
          <w:bCs/>
          <w:u w:val="single"/>
        </w:rPr>
        <w:t>2.7.3.4  Plateformes numériques pour l'orientation scolaire</w:t>
      </w:r>
    </w:p>
    <w:p w:rsidR="00054E90" w:rsidRDefault="00054E90" w:rsidP="00054E90">
      <w:pPr>
        <w:spacing w:before="120" w:after="120" w:line="360" w:lineRule="auto"/>
        <w:jc w:val="both"/>
      </w:pPr>
      <w:r>
        <w:t xml:space="preserve">Les plateformes numériques d'orientation les plus abouties intègrent plusieurs de ces outils dans un environnement unifié, permettant une gestion cohérente et en temps réel. Notre projet s'inscrit dans cette dynamique, avec pour objectif de concevoir une plateforme spécialisée dans l'orientation scolaire par analyses automatisées. Elle couvre la gestion des notes sur trois trimestres, la passation de cinq tests psychotechniques, la génération d'un diagnostic IA avec score de confiance, la détection des conflits de profil, le dialogue avec un agent conversationnel et la production d'une fiche d'orientation officielle. L'accent est mis </w:t>
      </w:r>
      <w:r>
        <w:lastRenderedPageBreak/>
        <w:t>sur la réactivité, la simplicité d'usage et l'accessibilité, en tenant compte des réalités technologiques et économiques du contexte camerounais.</w:t>
      </w:r>
    </w:p>
    <w:p w:rsidR="00054E90" w:rsidRDefault="00054E90" w:rsidP="00054E90">
      <w:pPr>
        <w:spacing w:before="80" w:after="80"/>
      </w:pPr>
    </w:p>
    <w:p w:rsidR="00054E90" w:rsidRDefault="00054E90" w:rsidP="00054E90">
      <w:pPr>
        <w:pStyle w:val="Titre2"/>
      </w:pPr>
      <w:r>
        <w:t>2.8  Choix du cadre conceptuel</w:t>
      </w:r>
    </w:p>
    <w:p w:rsidR="00054E90" w:rsidRDefault="00054E90" w:rsidP="00054E90">
      <w:pPr>
        <w:pStyle w:val="Titre3"/>
      </w:pPr>
      <w:r>
        <w:rPr>
          <w:i/>
          <w:iCs/>
        </w:rPr>
        <w:t>2.8.1  Choix de la méthode de développement logiciel</w:t>
      </w:r>
    </w:p>
    <w:p w:rsidR="00054E90" w:rsidRDefault="00054E90" w:rsidP="00054E90">
      <w:pPr>
        <w:spacing w:before="120" w:after="120" w:line="360" w:lineRule="auto"/>
        <w:jc w:val="both"/>
      </w:pPr>
      <w:r>
        <w:t xml:space="preserve">Dans la section 2.6, nous avons présenté deux catégories de méthodes de développement logiciel : les méthodes classiques et les méthodes agiles. Il a été démontré que les méthodes classiques sont davantage adaptées aux grands projets clairement définis dès le départ, tandis que les méthodes agiles conviennent mieux aux projets innovants de taille moyenne dont les besoins évoluent. Dans notre cas, </w:t>
      </w:r>
      <w:proofErr w:type="spellStart"/>
      <w:r>
        <w:t>CapAvenir</w:t>
      </w:r>
      <w:proofErr w:type="spellEnd"/>
      <w:r>
        <w:t xml:space="preserve"> CMR est un projet de taille moyenne, soumis à une contrainte temporelle forte liée au calendrier du mémoire, et dont les besoins ont évolué progressivement au fil des enquêtes menées auprès des élèves, des enseignants et des conseillers d'orientation. C'est dans cette optique que nous avons naturellement opté pour la méthode agile SCRUM. Plusieurs raisons motivent ce choix :</w:t>
      </w:r>
    </w:p>
    <w:p w:rsidR="00054E90" w:rsidRDefault="00054E90" w:rsidP="00054E90">
      <w:pPr>
        <w:pStyle w:val="Paragraphedeliste"/>
        <w:numPr>
          <w:ilvl w:val="0"/>
          <w:numId w:val="4"/>
        </w:numPr>
        <w:spacing w:before="80" w:after="80" w:line="340" w:lineRule="auto"/>
      </w:pPr>
      <w:r>
        <w:t>Le besoin d'un travail itératif et incrémental, permettant de livrer régulièrement des versions fonctionnelles de l'application pour validation par les utilisateurs cibles ;</w:t>
      </w:r>
    </w:p>
    <w:p w:rsidR="00054E90" w:rsidRDefault="00054E90" w:rsidP="00054E90">
      <w:pPr>
        <w:pStyle w:val="Paragraphedeliste"/>
        <w:numPr>
          <w:ilvl w:val="0"/>
          <w:numId w:val="4"/>
        </w:numPr>
        <w:spacing w:before="80" w:after="80" w:line="340" w:lineRule="auto"/>
      </w:pPr>
      <w:r>
        <w:t>La collaboration continue entre les membres de l'équipe de développement et les utilisateurs finaux (élèves, conseillers, enseignants) pour affiner les fonctionnalités au fil des sprints ;</w:t>
      </w:r>
    </w:p>
    <w:p w:rsidR="00054E90" w:rsidRDefault="00054E90" w:rsidP="00054E90">
      <w:pPr>
        <w:pStyle w:val="Paragraphedeliste"/>
        <w:numPr>
          <w:ilvl w:val="0"/>
          <w:numId w:val="4"/>
        </w:numPr>
        <w:spacing w:before="80" w:after="80" w:line="340" w:lineRule="auto"/>
      </w:pPr>
      <w:r>
        <w:t>La prise en compte du risque inhérent à l'intégration d'un moteur d'inférence et d'un agent IA, dont les comportements doivent être testés et ajustés de façon itérative ;</w:t>
      </w:r>
    </w:p>
    <w:p w:rsidR="00054E90" w:rsidRDefault="00054E90" w:rsidP="00054E90">
      <w:pPr>
        <w:pStyle w:val="Paragraphedeliste"/>
        <w:numPr>
          <w:ilvl w:val="0"/>
          <w:numId w:val="4"/>
        </w:numPr>
        <w:spacing w:before="80" w:after="80" w:line="340" w:lineRule="auto"/>
      </w:pPr>
      <w:r>
        <w:t>L'adaptation facile de la méthode à la taille de l'équipe et à la diversité des rôles qu'elle mobilise, garantissant la construction d'un produit de qualité croissante au fur et à mesure du développement.</w:t>
      </w:r>
    </w:p>
    <w:p w:rsidR="00054E90" w:rsidRDefault="00054E90" w:rsidP="00054E90">
      <w:pPr>
        <w:pStyle w:val="Titre3"/>
      </w:pPr>
      <w:r>
        <w:rPr>
          <w:i/>
          <w:iCs/>
        </w:rPr>
        <w:t>2.8.2  Choix de la méthode d'évaluation ergonomique</w:t>
      </w:r>
    </w:p>
    <w:p w:rsidR="00054E90" w:rsidRDefault="00054E90" w:rsidP="00054E90">
      <w:pPr>
        <w:spacing w:before="120" w:after="120" w:line="360" w:lineRule="auto"/>
        <w:jc w:val="both"/>
      </w:pPr>
      <w:r>
        <w:t xml:space="preserve">Dans le cadre de la conception de l'interface de </w:t>
      </w:r>
      <w:proofErr w:type="spellStart"/>
      <w:r>
        <w:t>CapAvenir</w:t>
      </w:r>
      <w:proofErr w:type="spellEnd"/>
      <w:r>
        <w:t xml:space="preserve"> CMR, nous adoptons une approche d'évaluation centrée utilisateur, fondée sur des itérations de tests utilisateurs. Cette méthode s'inscrit dans une logique de conception participative, visant à ajuster continuellement l'interface et les fonctionnalités en fonction des retours empiriques des utilisateurs finaux — en particulier des élèves de Troisième peu expérimentés en matière d'outils d'évaluation psychotechnique, et des conseillers d'orientation qui constituent les utilisateurs experts du système.</w:t>
      </w:r>
    </w:p>
    <w:p w:rsidR="00054E90" w:rsidRDefault="00054E90" w:rsidP="00054E90">
      <w:pPr>
        <w:spacing w:before="120" w:after="120" w:line="360" w:lineRule="auto"/>
        <w:jc w:val="both"/>
      </w:pPr>
      <w:r>
        <w:lastRenderedPageBreak/>
        <w:t xml:space="preserve">Les sessions d'évaluation sont structurées autour des critères ergonomiques de Bastien et Scapin (1993), qui fournissent un référentiel reconnu pour l'évaluation des interfaces homme-machine. Ces critères orientent toutes les décisions relatives au design visuel (typographie, contrastes, palette de couleurs tricolore), à la structuration de l'information (hiérarchisation des étapes, lisibilité des alertes et des scores), et à l'organisation spatiale des composants interactifs (positionnement des </w:t>
      </w:r>
      <w:proofErr w:type="spellStart"/>
      <w:r>
        <w:t>sliders</w:t>
      </w:r>
      <w:proofErr w:type="spellEnd"/>
      <w:r>
        <w:t xml:space="preserve"> de tests, des graphiques </w:t>
      </w:r>
      <w:proofErr w:type="gramStart"/>
      <w:r>
        <w:t>radar</w:t>
      </w:r>
      <w:proofErr w:type="gramEnd"/>
      <w:r>
        <w:t xml:space="preserve"> et barres, des zones de saisie des notes). Une attention spécifique est accordée à l'optimisation de l'interface (UI) et de l'expérience utilisateur (UX) pour les modules critiques : la passation guidée des cinq tests psychotechniques, l'affichage du diagnostic avec son score de confiance en pourcentage, et le dialogue avec l'agent conversationnel à intelligence artificielle.</w:t>
      </w:r>
    </w:p>
    <w:p w:rsidR="00054E90" w:rsidRDefault="00054E90" w:rsidP="00054E90">
      <w:pPr>
        <w:spacing w:before="80" w:after="80"/>
      </w:pPr>
    </w:p>
    <w:p w:rsidR="00054E90" w:rsidRDefault="00054E90" w:rsidP="00054E90">
      <w:pPr>
        <w:pStyle w:val="Titre2"/>
      </w:pPr>
      <w:r>
        <w:t>Conclusion</w:t>
      </w:r>
    </w:p>
    <w:p w:rsidR="00054E90" w:rsidRDefault="00054E90" w:rsidP="00054E90">
      <w:pPr>
        <w:spacing w:before="120" w:after="120" w:line="360" w:lineRule="auto"/>
        <w:jc w:val="both"/>
      </w:pPr>
      <w:r>
        <w:t xml:space="preserve">Cette revue de la littérature a permis de dresser un panorama complet et rigoureux des savoirs scientifiques et techniques sur lesquels s'appuie </w:t>
      </w:r>
      <w:proofErr w:type="spellStart"/>
      <w:r>
        <w:t>CapAvenir</w:t>
      </w:r>
      <w:proofErr w:type="spellEnd"/>
      <w:r>
        <w:t xml:space="preserve"> CMR. Plusieurs enseignements essentiels en ressortent. Premièrement, l'orientation scolaire dispose de fondements psychométriques solides et anciens qui légitiment le recours aux tests standardisés comme outils d'objectivation des aptitudes cognitives des élèves. Les cinq tests intégrés dans </w:t>
      </w:r>
      <w:proofErr w:type="spellStart"/>
      <w:r>
        <w:t>CapAvenir</w:t>
      </w:r>
      <w:proofErr w:type="spellEnd"/>
      <w:r>
        <w:t xml:space="preserve"> CMR — D48, KRX, MECA, BV11 et PRC — s'inscrivent dans cette tradition scientifique. Deuxièmement, l'analyse des plateformes numériques existantes révèle un vide structurel significatif : aucune solution disponible ne propose une intégration complète des cinq types de données nécessaires à une orientation rigoureuse de la Troisième vers la Seconde dans le contexte camerounais. Troisièmement, les modèles de développement logiciel — qu'ils soient traditionnels (cascade, V, Y) ou agiles (XP, SCRUM, RUP) — offrent des cadres méthodologiques bien établis ; le choix de SCRUM est solidement justifié par les caractéristiques spécifiques du projet. Quatrièmement, les principes ergonomiques de Bastien et Scapin (1993) constituent un référentiel adapté pour concevoir et évaluer une interface accessible à des utilisateurs aux profils variés. Ces fondements théoriques et méthodologiques constituent le socle sur lequel s'appuient les matériels et méthodes détaillés dans le chapitre suivant.</w:t>
      </w:r>
    </w:p>
    <w:p w:rsidR="00054E90" w:rsidRDefault="00054E90">
      <w:pPr>
        <w:spacing w:before="120" w:after="120" w:line="360" w:lineRule="auto"/>
        <w:jc w:val="both"/>
      </w:pPr>
    </w:p>
    <w:sectPr w:rsidR="00054E90">
      <w:pgSz w:w="11906" w:h="16838"/>
      <w:pgMar w:top="1440" w:right="13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51C1A"/>
    <w:multiLevelType w:val="hybridMultilevel"/>
    <w:tmpl w:val="AE487C88"/>
    <w:lvl w:ilvl="0" w:tplc="00CE2338">
      <w:start w:val="1"/>
      <w:numFmt w:val="bullet"/>
      <w:lvlText w:val="•"/>
      <w:lvlJc w:val="left"/>
      <w:pPr>
        <w:ind w:left="720" w:hanging="360"/>
      </w:pPr>
    </w:lvl>
    <w:lvl w:ilvl="1" w:tplc="A454CA64">
      <w:numFmt w:val="decimal"/>
      <w:lvlText w:val=""/>
      <w:lvlJc w:val="left"/>
    </w:lvl>
    <w:lvl w:ilvl="2" w:tplc="0DA83C16">
      <w:numFmt w:val="decimal"/>
      <w:lvlText w:val=""/>
      <w:lvlJc w:val="left"/>
    </w:lvl>
    <w:lvl w:ilvl="3" w:tplc="7E04D5E8">
      <w:numFmt w:val="decimal"/>
      <w:lvlText w:val=""/>
      <w:lvlJc w:val="left"/>
    </w:lvl>
    <w:lvl w:ilvl="4" w:tplc="DAB84F52">
      <w:numFmt w:val="decimal"/>
      <w:lvlText w:val=""/>
      <w:lvlJc w:val="left"/>
    </w:lvl>
    <w:lvl w:ilvl="5" w:tplc="90488AC6">
      <w:numFmt w:val="decimal"/>
      <w:lvlText w:val=""/>
      <w:lvlJc w:val="left"/>
    </w:lvl>
    <w:lvl w:ilvl="6" w:tplc="63CE4F54">
      <w:numFmt w:val="decimal"/>
      <w:lvlText w:val=""/>
      <w:lvlJc w:val="left"/>
    </w:lvl>
    <w:lvl w:ilvl="7" w:tplc="9C04E7FA">
      <w:numFmt w:val="decimal"/>
      <w:lvlText w:val=""/>
      <w:lvlJc w:val="left"/>
    </w:lvl>
    <w:lvl w:ilvl="8" w:tplc="F280DB8A">
      <w:numFmt w:val="decimal"/>
      <w:lvlText w:val=""/>
      <w:lvlJc w:val="left"/>
    </w:lvl>
  </w:abstractNum>
  <w:abstractNum w:abstractNumId="1">
    <w:nsid w:val="22B40BA0"/>
    <w:multiLevelType w:val="hybridMultilevel"/>
    <w:tmpl w:val="5C244D20"/>
    <w:lvl w:ilvl="0" w:tplc="41081E92">
      <w:start w:val="1"/>
      <w:numFmt w:val="bullet"/>
      <w:lvlText w:val="•"/>
      <w:lvlJc w:val="left"/>
      <w:pPr>
        <w:ind w:left="720" w:hanging="360"/>
      </w:pPr>
    </w:lvl>
    <w:lvl w:ilvl="1" w:tplc="4FDE81F2">
      <w:numFmt w:val="decimal"/>
      <w:lvlText w:val=""/>
      <w:lvlJc w:val="left"/>
    </w:lvl>
    <w:lvl w:ilvl="2" w:tplc="AF9205C2">
      <w:numFmt w:val="decimal"/>
      <w:lvlText w:val=""/>
      <w:lvlJc w:val="left"/>
    </w:lvl>
    <w:lvl w:ilvl="3" w:tplc="24B242C4">
      <w:numFmt w:val="decimal"/>
      <w:lvlText w:val=""/>
      <w:lvlJc w:val="left"/>
    </w:lvl>
    <w:lvl w:ilvl="4" w:tplc="A73AD016">
      <w:numFmt w:val="decimal"/>
      <w:lvlText w:val=""/>
      <w:lvlJc w:val="left"/>
    </w:lvl>
    <w:lvl w:ilvl="5" w:tplc="66461E12">
      <w:numFmt w:val="decimal"/>
      <w:lvlText w:val=""/>
      <w:lvlJc w:val="left"/>
    </w:lvl>
    <w:lvl w:ilvl="6" w:tplc="F956DA1E">
      <w:numFmt w:val="decimal"/>
      <w:lvlText w:val=""/>
      <w:lvlJc w:val="left"/>
    </w:lvl>
    <w:lvl w:ilvl="7" w:tplc="6ADCE720">
      <w:numFmt w:val="decimal"/>
      <w:lvlText w:val=""/>
      <w:lvlJc w:val="left"/>
    </w:lvl>
    <w:lvl w:ilvl="8" w:tplc="3B5480A2">
      <w:numFmt w:val="decimal"/>
      <w:lvlText w:val=""/>
      <w:lvlJc w:val="left"/>
    </w:lvl>
  </w:abstractNum>
  <w:abstractNum w:abstractNumId="2">
    <w:nsid w:val="4458146C"/>
    <w:multiLevelType w:val="hybridMultilevel"/>
    <w:tmpl w:val="3A2637F8"/>
    <w:lvl w:ilvl="0" w:tplc="75EC67AC">
      <w:start w:val="1"/>
      <w:numFmt w:val="bullet"/>
      <w:lvlText w:val="●"/>
      <w:lvlJc w:val="left"/>
      <w:pPr>
        <w:ind w:left="720" w:hanging="360"/>
      </w:pPr>
    </w:lvl>
    <w:lvl w:ilvl="1" w:tplc="971A3EB4">
      <w:start w:val="1"/>
      <w:numFmt w:val="bullet"/>
      <w:lvlText w:val="○"/>
      <w:lvlJc w:val="left"/>
      <w:pPr>
        <w:ind w:left="1440" w:hanging="360"/>
      </w:pPr>
    </w:lvl>
    <w:lvl w:ilvl="2" w:tplc="EDF4736A">
      <w:start w:val="1"/>
      <w:numFmt w:val="bullet"/>
      <w:lvlText w:val="■"/>
      <w:lvlJc w:val="left"/>
      <w:pPr>
        <w:ind w:left="2160" w:hanging="360"/>
      </w:pPr>
    </w:lvl>
    <w:lvl w:ilvl="3" w:tplc="07B6332A">
      <w:start w:val="1"/>
      <w:numFmt w:val="bullet"/>
      <w:lvlText w:val="●"/>
      <w:lvlJc w:val="left"/>
      <w:pPr>
        <w:ind w:left="2880" w:hanging="360"/>
      </w:pPr>
    </w:lvl>
    <w:lvl w:ilvl="4" w:tplc="35A4570C">
      <w:start w:val="1"/>
      <w:numFmt w:val="bullet"/>
      <w:lvlText w:val="○"/>
      <w:lvlJc w:val="left"/>
      <w:pPr>
        <w:ind w:left="3600" w:hanging="360"/>
      </w:pPr>
    </w:lvl>
    <w:lvl w:ilvl="5" w:tplc="FF588A14">
      <w:start w:val="1"/>
      <w:numFmt w:val="bullet"/>
      <w:lvlText w:val="■"/>
      <w:lvlJc w:val="left"/>
      <w:pPr>
        <w:ind w:left="4320" w:hanging="360"/>
      </w:pPr>
    </w:lvl>
    <w:lvl w:ilvl="6" w:tplc="8E4094B0">
      <w:start w:val="1"/>
      <w:numFmt w:val="bullet"/>
      <w:lvlText w:val="●"/>
      <w:lvlJc w:val="left"/>
      <w:pPr>
        <w:ind w:left="5040" w:hanging="360"/>
      </w:pPr>
    </w:lvl>
    <w:lvl w:ilvl="7" w:tplc="9DFEC62E">
      <w:start w:val="1"/>
      <w:numFmt w:val="bullet"/>
      <w:lvlText w:val="●"/>
      <w:lvlJc w:val="left"/>
      <w:pPr>
        <w:ind w:left="5760" w:hanging="360"/>
      </w:pPr>
    </w:lvl>
    <w:lvl w:ilvl="8" w:tplc="7A94ECEE">
      <w:start w:val="1"/>
      <w:numFmt w:val="bullet"/>
      <w:lvlText w:val="●"/>
      <w:lvlJc w:val="left"/>
      <w:pPr>
        <w:ind w:left="6480" w:hanging="360"/>
      </w:pPr>
    </w:lvl>
  </w:abstractNum>
  <w:abstractNum w:abstractNumId="3">
    <w:nsid w:val="6016742E"/>
    <w:multiLevelType w:val="hybridMultilevel"/>
    <w:tmpl w:val="CC461C4C"/>
    <w:lvl w:ilvl="0" w:tplc="F774E238">
      <w:start w:val="1"/>
      <w:numFmt w:val="decimal"/>
      <w:lvlText w:val="%1."/>
      <w:lvlJc w:val="left"/>
      <w:pPr>
        <w:ind w:left="720" w:hanging="360"/>
      </w:pPr>
    </w:lvl>
    <w:lvl w:ilvl="1" w:tplc="2FE6188C">
      <w:numFmt w:val="decimal"/>
      <w:lvlText w:val=""/>
      <w:lvlJc w:val="left"/>
    </w:lvl>
    <w:lvl w:ilvl="2" w:tplc="1F462BC0">
      <w:numFmt w:val="decimal"/>
      <w:lvlText w:val=""/>
      <w:lvlJc w:val="left"/>
    </w:lvl>
    <w:lvl w:ilvl="3" w:tplc="CE566076">
      <w:numFmt w:val="decimal"/>
      <w:lvlText w:val=""/>
      <w:lvlJc w:val="left"/>
    </w:lvl>
    <w:lvl w:ilvl="4" w:tplc="08CA956C">
      <w:numFmt w:val="decimal"/>
      <w:lvlText w:val=""/>
      <w:lvlJc w:val="left"/>
    </w:lvl>
    <w:lvl w:ilvl="5" w:tplc="D2FA5CB2">
      <w:numFmt w:val="decimal"/>
      <w:lvlText w:val=""/>
      <w:lvlJc w:val="left"/>
    </w:lvl>
    <w:lvl w:ilvl="6" w:tplc="9670D992">
      <w:numFmt w:val="decimal"/>
      <w:lvlText w:val=""/>
      <w:lvlJc w:val="left"/>
    </w:lvl>
    <w:lvl w:ilvl="7" w:tplc="686218EA">
      <w:numFmt w:val="decimal"/>
      <w:lvlText w:val=""/>
      <w:lvlJc w:val="left"/>
    </w:lvl>
    <w:lvl w:ilvl="8" w:tplc="3E42BB94">
      <w:numFmt w:val="decimal"/>
      <w:lvlText w:val=""/>
      <w:lvlJc w:val="left"/>
    </w:lvl>
  </w:abstractNum>
  <w:abstractNum w:abstractNumId="4">
    <w:nsid w:val="6E7D0A09"/>
    <w:multiLevelType w:val="hybridMultilevel"/>
    <w:tmpl w:val="628AC422"/>
    <w:lvl w:ilvl="0" w:tplc="C7640060">
      <w:start w:val="1"/>
      <w:numFmt w:val="bullet"/>
      <w:lvlText w:val="•"/>
      <w:lvlJc w:val="left"/>
      <w:pPr>
        <w:ind w:left="720" w:hanging="360"/>
      </w:pPr>
    </w:lvl>
    <w:lvl w:ilvl="1" w:tplc="D150AB3E">
      <w:numFmt w:val="decimal"/>
      <w:lvlText w:val=""/>
      <w:lvlJc w:val="left"/>
      <w:pPr>
        <w:ind w:left="0" w:firstLine="0"/>
      </w:pPr>
    </w:lvl>
    <w:lvl w:ilvl="2" w:tplc="05CE255E">
      <w:numFmt w:val="decimal"/>
      <w:lvlText w:val=""/>
      <w:lvlJc w:val="left"/>
      <w:pPr>
        <w:ind w:left="0" w:firstLine="0"/>
      </w:pPr>
    </w:lvl>
    <w:lvl w:ilvl="3" w:tplc="EE969B5A">
      <w:numFmt w:val="decimal"/>
      <w:lvlText w:val=""/>
      <w:lvlJc w:val="left"/>
      <w:pPr>
        <w:ind w:left="0" w:firstLine="0"/>
      </w:pPr>
    </w:lvl>
    <w:lvl w:ilvl="4" w:tplc="480C6682">
      <w:numFmt w:val="decimal"/>
      <w:lvlText w:val=""/>
      <w:lvlJc w:val="left"/>
      <w:pPr>
        <w:ind w:left="0" w:firstLine="0"/>
      </w:pPr>
    </w:lvl>
    <w:lvl w:ilvl="5" w:tplc="27D230A2">
      <w:numFmt w:val="decimal"/>
      <w:lvlText w:val=""/>
      <w:lvlJc w:val="left"/>
      <w:pPr>
        <w:ind w:left="0" w:firstLine="0"/>
      </w:pPr>
    </w:lvl>
    <w:lvl w:ilvl="6" w:tplc="107814D0">
      <w:numFmt w:val="decimal"/>
      <w:lvlText w:val=""/>
      <w:lvlJc w:val="left"/>
      <w:pPr>
        <w:ind w:left="0" w:firstLine="0"/>
      </w:pPr>
    </w:lvl>
    <w:lvl w:ilvl="7" w:tplc="D07835DE">
      <w:numFmt w:val="decimal"/>
      <w:lvlText w:val=""/>
      <w:lvlJc w:val="left"/>
      <w:pPr>
        <w:ind w:left="0" w:firstLine="0"/>
      </w:pPr>
    </w:lvl>
    <w:lvl w:ilvl="8" w:tplc="F6E69A1A">
      <w:numFmt w:val="decimal"/>
      <w:lvlText w:val=""/>
      <w:lvlJc w:val="left"/>
      <w:pPr>
        <w:ind w:left="0" w:firstLine="0"/>
      </w:pPr>
    </w:lvl>
  </w:abstractNum>
  <w:num w:numId="1">
    <w:abstractNumId w:val="2"/>
    <w:lvlOverride w:ilvl="0">
      <w:startOverride w:val="1"/>
    </w:lvlOverride>
  </w:num>
  <w:num w:numId="2">
    <w:abstractNumId w:val="0"/>
    <w:lvlOverride w:ilvl="0">
      <w:startOverride w:val="1"/>
    </w:lvlOverride>
  </w:num>
  <w:num w:numId="3">
    <w:abstractNumId w:val="4"/>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E32"/>
    <w:rsid w:val="00054E90"/>
    <w:rsid w:val="00167DA9"/>
    <w:rsid w:val="00186E32"/>
    <w:rsid w:val="002960D9"/>
    <w:rsid w:val="006E36FA"/>
    <w:rsid w:val="00766A7D"/>
    <w:rsid w:val="007E27BC"/>
    <w:rsid w:val="008B1E20"/>
    <w:rsid w:val="009D7F20"/>
    <w:rsid w:val="00B2255E"/>
    <w:rsid w:val="00D27C29"/>
    <w:rsid w:val="00E7211C"/>
    <w:rsid w:val="00E817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0BFA49-8CF2-4825-90DB-53F8E34B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40"/>
      <w:outlineLvl w:val="0"/>
    </w:pPr>
    <w:rPr>
      <w:b/>
      <w:bCs/>
      <w:color w:val="000000"/>
      <w:sz w:val="28"/>
      <w:szCs w:val="28"/>
    </w:rPr>
  </w:style>
  <w:style w:type="paragraph" w:styleId="Titre2">
    <w:name w:val="heading 2"/>
    <w:qFormat/>
    <w:pPr>
      <w:spacing w:before="280" w:after="180"/>
      <w:outlineLvl w:val="1"/>
    </w:pPr>
    <w:rPr>
      <w:b/>
      <w:bCs/>
      <w:color w:val="000000"/>
      <w:sz w:val="26"/>
      <w:szCs w:val="26"/>
    </w:rPr>
  </w:style>
  <w:style w:type="paragraph" w:styleId="Titre3">
    <w:name w:val="heading 3"/>
    <w:qFormat/>
    <w:pPr>
      <w:spacing w:before="200" w:after="120"/>
      <w:outlineLvl w:val="2"/>
    </w:pPr>
    <w:rPr>
      <w:b/>
      <w:bCs/>
      <w:color w:val="000000"/>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unhideWhenUsed/>
    <w:rsid w:val="008B1E2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541291">
      <w:bodyDiv w:val="1"/>
      <w:marLeft w:val="0"/>
      <w:marRight w:val="0"/>
      <w:marTop w:val="0"/>
      <w:marBottom w:val="0"/>
      <w:divBdr>
        <w:top w:val="none" w:sz="0" w:space="0" w:color="auto"/>
        <w:left w:val="none" w:sz="0" w:space="0" w:color="auto"/>
        <w:bottom w:val="none" w:sz="0" w:space="0" w:color="auto"/>
        <w:right w:val="none" w:sz="0" w:space="0" w:color="auto"/>
      </w:divBdr>
    </w:div>
    <w:div w:id="347103088">
      <w:bodyDiv w:val="1"/>
      <w:marLeft w:val="0"/>
      <w:marRight w:val="0"/>
      <w:marTop w:val="0"/>
      <w:marBottom w:val="0"/>
      <w:divBdr>
        <w:top w:val="none" w:sz="0" w:space="0" w:color="auto"/>
        <w:left w:val="none" w:sz="0" w:space="0" w:color="auto"/>
        <w:bottom w:val="none" w:sz="0" w:space="0" w:color="auto"/>
        <w:right w:val="none" w:sz="0" w:space="0" w:color="auto"/>
      </w:divBdr>
    </w:div>
    <w:div w:id="401679375">
      <w:bodyDiv w:val="1"/>
      <w:marLeft w:val="0"/>
      <w:marRight w:val="0"/>
      <w:marTop w:val="0"/>
      <w:marBottom w:val="0"/>
      <w:divBdr>
        <w:top w:val="none" w:sz="0" w:space="0" w:color="auto"/>
        <w:left w:val="none" w:sz="0" w:space="0" w:color="auto"/>
        <w:bottom w:val="none" w:sz="0" w:space="0" w:color="auto"/>
        <w:right w:val="none" w:sz="0" w:space="0" w:color="auto"/>
      </w:divBdr>
    </w:div>
    <w:div w:id="459081588">
      <w:bodyDiv w:val="1"/>
      <w:marLeft w:val="0"/>
      <w:marRight w:val="0"/>
      <w:marTop w:val="0"/>
      <w:marBottom w:val="0"/>
      <w:divBdr>
        <w:top w:val="none" w:sz="0" w:space="0" w:color="auto"/>
        <w:left w:val="none" w:sz="0" w:space="0" w:color="auto"/>
        <w:bottom w:val="none" w:sz="0" w:space="0" w:color="auto"/>
        <w:right w:val="none" w:sz="0" w:space="0" w:color="auto"/>
      </w:divBdr>
    </w:div>
    <w:div w:id="497113531">
      <w:bodyDiv w:val="1"/>
      <w:marLeft w:val="0"/>
      <w:marRight w:val="0"/>
      <w:marTop w:val="0"/>
      <w:marBottom w:val="0"/>
      <w:divBdr>
        <w:top w:val="none" w:sz="0" w:space="0" w:color="auto"/>
        <w:left w:val="none" w:sz="0" w:space="0" w:color="auto"/>
        <w:bottom w:val="none" w:sz="0" w:space="0" w:color="auto"/>
        <w:right w:val="none" w:sz="0" w:space="0" w:color="auto"/>
      </w:divBdr>
    </w:div>
    <w:div w:id="573898941">
      <w:bodyDiv w:val="1"/>
      <w:marLeft w:val="0"/>
      <w:marRight w:val="0"/>
      <w:marTop w:val="0"/>
      <w:marBottom w:val="0"/>
      <w:divBdr>
        <w:top w:val="none" w:sz="0" w:space="0" w:color="auto"/>
        <w:left w:val="none" w:sz="0" w:space="0" w:color="auto"/>
        <w:bottom w:val="none" w:sz="0" w:space="0" w:color="auto"/>
        <w:right w:val="none" w:sz="0" w:space="0" w:color="auto"/>
      </w:divBdr>
    </w:div>
    <w:div w:id="664284169">
      <w:bodyDiv w:val="1"/>
      <w:marLeft w:val="0"/>
      <w:marRight w:val="0"/>
      <w:marTop w:val="0"/>
      <w:marBottom w:val="0"/>
      <w:divBdr>
        <w:top w:val="none" w:sz="0" w:space="0" w:color="auto"/>
        <w:left w:val="none" w:sz="0" w:space="0" w:color="auto"/>
        <w:bottom w:val="none" w:sz="0" w:space="0" w:color="auto"/>
        <w:right w:val="none" w:sz="0" w:space="0" w:color="auto"/>
      </w:divBdr>
    </w:div>
    <w:div w:id="736247872">
      <w:bodyDiv w:val="1"/>
      <w:marLeft w:val="0"/>
      <w:marRight w:val="0"/>
      <w:marTop w:val="0"/>
      <w:marBottom w:val="0"/>
      <w:divBdr>
        <w:top w:val="none" w:sz="0" w:space="0" w:color="auto"/>
        <w:left w:val="none" w:sz="0" w:space="0" w:color="auto"/>
        <w:bottom w:val="none" w:sz="0" w:space="0" w:color="auto"/>
        <w:right w:val="none" w:sz="0" w:space="0" w:color="auto"/>
      </w:divBdr>
    </w:div>
    <w:div w:id="1061636063">
      <w:bodyDiv w:val="1"/>
      <w:marLeft w:val="0"/>
      <w:marRight w:val="0"/>
      <w:marTop w:val="0"/>
      <w:marBottom w:val="0"/>
      <w:divBdr>
        <w:top w:val="none" w:sz="0" w:space="0" w:color="auto"/>
        <w:left w:val="none" w:sz="0" w:space="0" w:color="auto"/>
        <w:bottom w:val="none" w:sz="0" w:space="0" w:color="auto"/>
        <w:right w:val="none" w:sz="0" w:space="0" w:color="auto"/>
      </w:divBdr>
    </w:div>
    <w:div w:id="1071658900">
      <w:bodyDiv w:val="1"/>
      <w:marLeft w:val="0"/>
      <w:marRight w:val="0"/>
      <w:marTop w:val="0"/>
      <w:marBottom w:val="0"/>
      <w:divBdr>
        <w:top w:val="none" w:sz="0" w:space="0" w:color="auto"/>
        <w:left w:val="none" w:sz="0" w:space="0" w:color="auto"/>
        <w:bottom w:val="none" w:sz="0" w:space="0" w:color="auto"/>
        <w:right w:val="none" w:sz="0" w:space="0" w:color="auto"/>
      </w:divBdr>
    </w:div>
    <w:div w:id="1081369292">
      <w:bodyDiv w:val="1"/>
      <w:marLeft w:val="0"/>
      <w:marRight w:val="0"/>
      <w:marTop w:val="0"/>
      <w:marBottom w:val="0"/>
      <w:divBdr>
        <w:top w:val="none" w:sz="0" w:space="0" w:color="auto"/>
        <w:left w:val="none" w:sz="0" w:space="0" w:color="auto"/>
        <w:bottom w:val="none" w:sz="0" w:space="0" w:color="auto"/>
        <w:right w:val="none" w:sz="0" w:space="0" w:color="auto"/>
      </w:divBdr>
    </w:div>
    <w:div w:id="1093428390">
      <w:bodyDiv w:val="1"/>
      <w:marLeft w:val="0"/>
      <w:marRight w:val="0"/>
      <w:marTop w:val="0"/>
      <w:marBottom w:val="0"/>
      <w:divBdr>
        <w:top w:val="none" w:sz="0" w:space="0" w:color="auto"/>
        <w:left w:val="none" w:sz="0" w:space="0" w:color="auto"/>
        <w:bottom w:val="none" w:sz="0" w:space="0" w:color="auto"/>
        <w:right w:val="none" w:sz="0" w:space="0" w:color="auto"/>
      </w:divBdr>
    </w:div>
    <w:div w:id="1219170979">
      <w:bodyDiv w:val="1"/>
      <w:marLeft w:val="0"/>
      <w:marRight w:val="0"/>
      <w:marTop w:val="0"/>
      <w:marBottom w:val="0"/>
      <w:divBdr>
        <w:top w:val="none" w:sz="0" w:space="0" w:color="auto"/>
        <w:left w:val="none" w:sz="0" w:space="0" w:color="auto"/>
        <w:bottom w:val="none" w:sz="0" w:space="0" w:color="auto"/>
        <w:right w:val="none" w:sz="0" w:space="0" w:color="auto"/>
      </w:divBdr>
    </w:div>
    <w:div w:id="1474179343">
      <w:bodyDiv w:val="1"/>
      <w:marLeft w:val="0"/>
      <w:marRight w:val="0"/>
      <w:marTop w:val="0"/>
      <w:marBottom w:val="0"/>
      <w:divBdr>
        <w:top w:val="none" w:sz="0" w:space="0" w:color="auto"/>
        <w:left w:val="none" w:sz="0" w:space="0" w:color="auto"/>
        <w:bottom w:val="none" w:sz="0" w:space="0" w:color="auto"/>
        <w:right w:val="none" w:sz="0" w:space="0" w:color="auto"/>
      </w:divBdr>
    </w:div>
    <w:div w:id="1854955784">
      <w:bodyDiv w:val="1"/>
      <w:marLeft w:val="0"/>
      <w:marRight w:val="0"/>
      <w:marTop w:val="0"/>
      <w:marBottom w:val="0"/>
      <w:divBdr>
        <w:top w:val="none" w:sz="0" w:space="0" w:color="auto"/>
        <w:left w:val="none" w:sz="0" w:space="0" w:color="auto"/>
        <w:bottom w:val="none" w:sz="0" w:space="0" w:color="auto"/>
        <w:right w:val="none" w:sz="0" w:space="0" w:color="auto"/>
      </w:divBdr>
    </w:div>
    <w:div w:id="1937052545">
      <w:bodyDiv w:val="1"/>
      <w:marLeft w:val="0"/>
      <w:marRight w:val="0"/>
      <w:marTop w:val="0"/>
      <w:marBottom w:val="0"/>
      <w:divBdr>
        <w:top w:val="none" w:sz="0" w:space="0" w:color="auto"/>
        <w:left w:val="none" w:sz="0" w:space="0" w:color="auto"/>
        <w:bottom w:val="none" w:sz="0" w:space="0" w:color="auto"/>
        <w:right w:val="none" w:sz="0" w:space="0" w:color="auto"/>
      </w:divBdr>
    </w:div>
    <w:div w:id="2037153416">
      <w:bodyDiv w:val="1"/>
      <w:marLeft w:val="0"/>
      <w:marRight w:val="0"/>
      <w:marTop w:val="0"/>
      <w:marBottom w:val="0"/>
      <w:divBdr>
        <w:top w:val="none" w:sz="0" w:space="0" w:color="auto"/>
        <w:left w:val="none" w:sz="0" w:space="0" w:color="auto"/>
        <w:bottom w:val="none" w:sz="0" w:space="0" w:color="auto"/>
        <w:right w:val="none" w:sz="0" w:space="0" w:color="auto"/>
      </w:divBdr>
    </w:div>
    <w:div w:id="2046514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32</Pages>
  <Words>9770</Words>
  <Characters>53735</Characters>
  <Application>Microsoft Office Word</Application>
  <DocSecurity>0</DocSecurity>
  <Lines>447</Lines>
  <Paragraphs>126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wamba</cp:lastModifiedBy>
  <cp:revision>4</cp:revision>
  <dcterms:created xsi:type="dcterms:W3CDTF">2026-04-12T05:38:00Z</dcterms:created>
  <dcterms:modified xsi:type="dcterms:W3CDTF">2026-04-13T17:45:00Z</dcterms:modified>
</cp:coreProperties>
</file>