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b/>
          <w:bCs/>
          <w:sz w:val="28"/>
          <w:szCs w:val="28"/>
        </w:rPr>
        <w:t xml:space="preserve">⋆ ⋆ Chapitre Deux ⋆ ⋆</w:t>
      </w:r>
    </w:p>
    <w:p>
      <w:pPr>
        <w:pStyle w:val="Heading1"/>
        <w:jc w:val="center"/>
      </w:pPr>
      <w:r>
        <w:rPr>
          <w:rFonts w:ascii="Times New Roman" w:cs="Times New Roman" w:eastAsia="Times New Roman" w:hAnsi="Times New Roman"/>
          <w:b/>
          <w:bCs/>
          <w:sz w:val="28"/>
          <w:szCs w:val="28"/>
        </w:rPr>
        <w:t xml:space="preserve">Revue de la Littérature</w:t>
      </w:r>
    </w:p>
    <w:p>
      <w:pPr>
        <w:spacing w:after="60" w:before="6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Introduction</w:t>
      </w:r>
    </w:p>
    <w:p>
      <w:pPr>
        <w:spacing w:after="120" w:before="120" w:line="360"/>
        <w:jc w:val="both"/>
      </w:pPr>
      <w:r>
        <w:rPr>
          <w:rFonts w:ascii="Times New Roman" w:cs="Times New Roman" w:eastAsia="Times New Roman" w:hAnsi="Times New Roman"/>
          <w:sz w:val="24"/>
          <w:szCs w:val="24"/>
        </w:rPr>
        <w:t xml:space="preserve">L'orientation scolaire constitue un enjeu éducatif majeur dont les racines théoriques et pratiques plongent au cœur de plusieurs disciplines : la psychologie différentielle, la psychométrie, les sciences de l'éducation et, plus récemment, l'informatique et l'intelligence artificielle. Avant de présenter la solution que nous proposons avec CapAvenir CMR, il convient d'explorer le champ scientifique et technique dans lequel elle s'inscrit. Ce chapitre s'organise en plusieurs volets complémentaires : une exploration de l'historique de l'orientation scolaire et de ses enjeux contemporains ; une analyse du rôle des tests psychotechniques dans le processus d'orientation ; un état des lieux des applications et systèmes numériques existants ; une présentation des approches en développement logiciel applicables à ce type de projet ; une réflexion sur l'ergonomie des interfaces homme-machine dans les applications éducatives ; et enfin, la justification des choix conceptuels et méthodologiques retenus pour la conception de CapAvenir CMR.</w:t>
      </w:r>
    </w:p>
    <w:p>
      <w:pPr>
        <w:spacing w:after="60" w:before="6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2.1  Historique de l'orientation scolaire</w:t>
      </w:r>
    </w:p>
    <w:p>
      <w:pPr>
        <w:spacing w:after="120" w:before="120" w:line="360"/>
        <w:jc w:val="both"/>
      </w:pPr>
      <w:r>
        <w:rPr>
          <w:rFonts w:ascii="Times New Roman" w:cs="Times New Roman" w:eastAsia="Times New Roman" w:hAnsi="Times New Roman"/>
          <w:sz w:val="24"/>
          <w:szCs w:val="24"/>
        </w:rPr>
        <w:t xml:space="preserve">L'orientation scolaire est une discipline dont l'institutionnalisation remonte au début du XXe siècle. C'est à Frank Parsons que l'on doit la première formalisation d'une démarche d'orientation professionnelle structurée : dans son ouvrage « Choosing a Vocation » (Parsons, 1909), il pose les fondements d'un modèle à trois composantes — la connaissance de soi, la connaissance du monde professionnel, et le raisonnement permettant de mettre ces deux ensembles en relation. Ce modèle, dit « trait-and-factor », a profondément influencé les pratiques d'orientation pendant plusieurs décennies et constitue toujours un socle de référence pour les démarches contemporaines.</w:t>
      </w:r>
    </w:p>
    <w:p>
      <w:pPr>
        <w:spacing w:after="120" w:before="120" w:line="360"/>
        <w:jc w:val="both"/>
      </w:pPr>
      <w:r>
        <w:rPr>
          <w:rFonts w:ascii="Times New Roman" w:cs="Times New Roman" w:eastAsia="Times New Roman" w:hAnsi="Times New Roman"/>
          <w:sz w:val="24"/>
          <w:szCs w:val="24"/>
        </w:rPr>
        <w:t xml:space="preserve">Les décennies suivantes ont vu se développer, en parallèle de l'orientation professionnelle, une orientation scolaire davantage axée sur la mesure des aptitudes cognitives des élèves. L'essor de la psychométrie — notamment avec les travaux de Binet et Simon (1905) sur la mesure de l'intelligence, puis avec le développement des tests d'aptitudes différentielles par Thurstone dans les années 1930 — a fourni aux conseillers d'orientation des outils standardisés permettant d'objectiver les décisions. Les batteries de tests psychotechniques, dont ceux utilisés dans CapAvenir CMR (D48, KRX, MECA, BV11, PRC) sont des héritiers directs, ont ainsi progressivement intégré les pratiques des services d'orientation à travers le monde (Reuchlin, 1971).</w:t>
      </w:r>
    </w:p>
    <w:p>
      <w:pPr>
        <w:spacing w:after="120" w:before="120" w:line="360"/>
        <w:jc w:val="both"/>
      </w:pPr>
      <w:r>
        <w:rPr>
          <w:rFonts w:ascii="Times New Roman" w:cs="Times New Roman" w:eastAsia="Times New Roman" w:hAnsi="Times New Roman"/>
          <w:sz w:val="24"/>
          <w:szCs w:val="24"/>
        </w:rPr>
        <w:t xml:space="preserve">En France, l'orientation scolaire et professionnelle a été institutionnalisée dès les années 1920, avec la création des premiers Offices de Renseignements sur les Professions (Guichard et Huteau, 2006). Au fil du temps, la profession de conseiller d'orientation-psychologue s'est structurée et ses outils se sont standardisés. En Afrique subsaharienne, ces modèles ont été introduits avec les systèmes éducatifs hérités de la colonisation, mais leur mise en œuvre est restée limitée en raison du manque de ressources humaines qualifiées et d'infrastructures adaptées.</w:t>
      </w:r>
    </w:p>
    <w:p>
      <w:pPr>
        <w:spacing w:after="120" w:before="120" w:line="360"/>
        <w:jc w:val="both"/>
      </w:pPr>
      <w:r>
        <w:rPr>
          <w:rFonts w:ascii="Times New Roman" w:cs="Times New Roman" w:eastAsia="Times New Roman" w:hAnsi="Times New Roman"/>
          <w:sz w:val="24"/>
          <w:szCs w:val="24"/>
        </w:rPr>
        <w:t xml:space="preserve">Au Cameroun spécifiquement, des conseillers d'orientation sont formés et déployés dans les établissements secondaires, mais leur nombre demeure insuffisant au regard des effectifs d'élèves à accompagner (Ministère des Enseignements Secondaires, 2023). Les instruments qu'ils utilisent — dont des batteries de tests psychotechniques papier — sont souvent les mêmes que ceux développés en Europe au milieu du XXe siècle, sans adaptation significative au contexte local ni recours aux outils numériques. CapAvenir CMR s'inscrit dans la continuité de cette tradition psychométrique tout en la modernisant grâce aux technologies actuelles.</w:t>
      </w:r>
    </w:p>
    <w:p>
      <w:pPr>
        <w:spacing w:after="60" w:before="6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2.2  Enjeux et contexte de l'orientation scolaire au Cameroun</w:t>
      </w:r>
    </w:p>
    <w:p>
      <w:pPr>
        <w:spacing w:after="120" w:before="120" w:line="360"/>
        <w:jc w:val="both"/>
      </w:pPr>
      <w:r>
        <w:rPr>
          <w:rFonts w:ascii="Times New Roman" w:cs="Times New Roman" w:eastAsia="Times New Roman" w:hAnsi="Times New Roman"/>
          <w:sz w:val="24"/>
          <w:szCs w:val="24"/>
        </w:rPr>
        <w:t xml:space="preserve">La question de l'orientation scolaire revêt au Cameroun une importance particulière en raison de la structure même du système éducatif secondaire. À l'issue de la classe de Troisième, les élèves doivent choisir entre plusieurs filières de second cycle, dont les deux principales dans l'enseignement général sont la Série C (à dominante scientifique : Mathématiques, Sciences Physiques, Sciences de la Vie et de la Terre) et la Série A (à dominante littéraire : Français, Histoire-Géographie, Anglais, Philosophie). Ce choix est stratégique car il détermine les matières enseignées pendant les trois années de second cycle (Seconde, Première, Terminale) et, par voie de conséquence, les options disponibles pour l'accès à l'enseignement supérieur et les débouchés professionnels à long terme.</w:t>
      </w:r>
    </w:p>
    <w:p>
      <w:pPr>
        <w:spacing w:after="120" w:before="120" w:line="360"/>
        <w:jc w:val="both"/>
      </w:pPr>
      <w:r>
        <w:rPr>
          <w:rFonts w:ascii="Times New Roman" w:cs="Times New Roman" w:eastAsia="Times New Roman" w:hAnsi="Times New Roman"/>
          <w:sz w:val="24"/>
          <w:szCs w:val="24"/>
        </w:rPr>
        <w:t xml:space="preserve">Les enjeux liés à une bonne orientation à ce stade sont multiples et documentés par la recherche en sciences de l'éducation. Premièrement, une orientation inadaptée au profil réel de l'élève est corrélée à des taux d'échec et de redoublement significativement plus élevés. Secondement, elle est associée à une démotivation progressive qui peut conduire au décrochage scolaire, phénomène préoccupant dont les coûts sociaux et économiques sont considérables (Rumberger, 2011). Troisièmement, au niveau macroéconomique, une inadéquation systémique entre les orientations scolaires et les besoins du marché du travail contribue au chômage des jeunes diplômés et freine le développement économique du pays (UNESCO, 2012).</w:t>
      </w:r>
    </w:p>
    <w:p>
      <w:pPr>
        <w:spacing w:after="120" w:before="120" w:line="360"/>
        <w:jc w:val="both"/>
      </w:pPr>
      <w:r>
        <w:rPr>
          <w:rFonts w:ascii="Times New Roman" w:cs="Times New Roman" w:eastAsia="Times New Roman" w:hAnsi="Times New Roman"/>
          <w:sz w:val="24"/>
          <w:szCs w:val="24"/>
        </w:rPr>
        <w:t xml:space="preserve">Par ailleurs, la dimension socio-économique de l'orientation est souvent négligée dans les pratiques courantes. Or, plusieurs études ont démontré que le revenu familial constitue un déterminant majeur non seulement des aspirations des élèves, mais aussi de la faisabilité concrète des parcours envisagés (Bourdieu et Passeron, 1970). Un élève aux fortes aptitudes scientifiques issu d'une famille à revenus modestes doit être informé des coûts associés aux études supérieures scientifiques longues et des dispositifs d'aide financière disponibles, sous peine de voir ses ambitions contrariées par des contraintes économiques que ni l'élève ni sa famille n'avaient anticipées. CapAvenir CMR intègre cette dimension en pondérant ses recommandations en fonction du revenu mensuel déclaré des parents (faible, moyen, élevé en FCFA).</w:t>
      </w:r>
    </w:p>
    <w:p>
      <w:pPr>
        <w:spacing w:after="60" w:before="6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2.3  Rôle des tests psychotechniques dans l'orientation scolaire</w:t>
      </w:r>
    </w:p>
    <w:p>
      <w:pPr>
        <w:spacing w:after="120" w:before="120" w:line="360"/>
        <w:jc w:val="both"/>
      </w:pPr>
      <w:r>
        <w:rPr>
          <w:rFonts w:ascii="Times New Roman" w:cs="Times New Roman" w:eastAsia="Times New Roman" w:hAnsi="Times New Roman"/>
          <w:sz w:val="24"/>
          <w:szCs w:val="24"/>
        </w:rPr>
        <w:t xml:space="preserve">Les tests psychotechniques constituent l'un des outils les plus robustes et les plus anciens de la psychologie appliquée à l'orientation. Leur principe repose sur la mesure standardisée de capacités cognitives spécifiques, permettant de situer les aptitudes d'un individu par rapport à une population de référence et de prédire sa réussite dans des domaines d'activité déterminés (Anastasi et Urbina, 1997). Dans le contexte de l'orientation scolaire, ils permettent de compléter l'information fournie par les notes scolaires — qui mesurent des acquisitions en contexte d'enseignement — par une mesure plus directe des aptitudes cognitives sous-jacentes, indépendamment des spécificités des programmes ou des pratiques pédagogiques des enseignants.</w:t>
      </w:r>
    </w:p>
    <w:p>
      <w:pPr>
        <w:spacing w:after="120" w:before="120" w:line="360"/>
        <w:jc w:val="both"/>
      </w:pPr>
      <w:r>
        <w:rPr>
          <w:rFonts w:ascii="Times New Roman" w:cs="Times New Roman" w:eastAsia="Times New Roman" w:hAnsi="Times New Roman"/>
          <w:sz w:val="24"/>
          <w:szCs w:val="24"/>
        </w:rPr>
        <w:t xml:space="preserve">Dans CapAvenir CMR, cinq tests psychotechniques standardisés sont utilisés, chacun mesurant une dimension cognitive distincte et contribuant à l'un des deux indices synthétiques d'aptitude.</w:t>
      </w:r>
    </w:p>
    <w:p>
      <w:pPr>
        <w:pStyle w:val="Heading3"/>
      </w:pPr>
      <w:r>
        <w:rPr>
          <w:rFonts w:ascii="Times New Roman" w:cs="Times New Roman" w:eastAsia="Times New Roman" w:hAnsi="Times New Roman"/>
          <w:b/>
          <w:bCs/>
          <w:sz w:val="24"/>
          <w:szCs w:val="24"/>
        </w:rPr>
        <w:t xml:space="preserve">2.3.1  Les tests à dominante scientifique</w:t>
      </w:r>
    </w:p>
    <w:p>
      <w:pPr>
        <w:spacing w:after="120" w:before="120" w:line="360"/>
        <w:jc w:val="both"/>
      </w:pPr>
      <w:r>
        <w:rPr>
          <w:rFonts w:ascii="Times New Roman" w:cs="Times New Roman" w:eastAsia="Times New Roman" w:hAnsi="Times New Roman"/>
          <w:sz w:val="24"/>
          <w:szCs w:val="24"/>
        </w:rPr>
        <w:t xml:space="preserve">Le Test des Dominos (D48) est l'un des tests de raisonnement non verbal les plus utilisés en Europe et en Afrique francophone. Conçu par Anstey (1944) et adapté en français, il présente des séries de dominos dont l'une des pièces est manquante, et demande au sujet de compléter la série en appliquant les règles implicites qui la régissent. Il mesure ainsi le raisonnement inductif et la capacité de pensée abstraite, aptitudes fortement corrélées à la réussite dans les disciplines scientifiques et mathématiques (Lézine et al., 1964). Sa version standardisée à quarante items constitue l'une des composantes du Score d'Aptitude Scientifique (SA) dans notre application.</w:t>
      </w:r>
    </w:p>
    <w:p>
      <w:pPr>
        <w:spacing w:after="120" w:before="120" w:line="360"/>
        <w:jc w:val="both"/>
      </w:pPr>
      <w:r>
        <w:rPr>
          <w:rFonts w:ascii="Times New Roman" w:cs="Times New Roman" w:eastAsia="Times New Roman" w:hAnsi="Times New Roman"/>
          <w:sz w:val="24"/>
          <w:szCs w:val="24"/>
        </w:rPr>
        <w:t xml:space="preserve">Le Test KRX, épreuve de raisonnement numérique, évalue la capacité du sujet à identifier des régularités dans des suites de nombres et à en extrapoler le terme suivant. Ce type d'épreuve, représentatif des batteries d'aptitude numérique (Numerical Ability Tests), est reconnu comme un bon prédicteur de la réussite dans les matières à fort contenu quantitatif, notamment les mathématiques et les sciences physiques (Carroll, 1993). Le KRX constitue la seconde composante du Score d'Aptitude Scientifique, calculé comme la moyenne des scores étalonnés du D48 et du KRX.</w:t>
      </w:r>
    </w:p>
    <w:p>
      <w:pPr>
        <w:spacing w:after="120" w:before="120" w:line="360"/>
        <w:jc w:val="both"/>
      </w:pPr>
      <w:r>
        <w:rPr>
          <w:rFonts w:ascii="Times New Roman" w:cs="Times New Roman" w:eastAsia="Times New Roman" w:hAnsi="Times New Roman"/>
          <w:sz w:val="24"/>
          <w:szCs w:val="24"/>
        </w:rPr>
        <w:t xml:space="preserve">Le Test Mécanique (MECA), composé de trente-six items, évalue la compréhension des principes physiques et mécaniques élémentaires à travers des situations concrètes et des schémas. Il mesure une aptitude spécifique — la compréhension mécanique — qui constitue un prérequis important pour les filières scientifiques et technologiques. Dans CapAvenir CMR, le MECA fournit une information complémentaire au SA, enrichissant le diagnostic de l'aptitude globale pour les sciences.</w:t>
      </w:r>
    </w:p>
    <w:p>
      <w:pPr>
        <w:pStyle w:val="Heading3"/>
      </w:pPr>
      <w:r>
        <w:rPr>
          <w:rFonts w:ascii="Times New Roman" w:cs="Times New Roman" w:eastAsia="Times New Roman" w:hAnsi="Times New Roman"/>
          <w:b/>
          <w:bCs/>
          <w:sz w:val="24"/>
          <w:szCs w:val="24"/>
        </w:rPr>
        <w:t xml:space="preserve">2.3.2  Les tests à dominante littéraire</w:t>
      </w:r>
    </w:p>
    <w:p>
      <w:pPr>
        <w:spacing w:after="120" w:before="120" w:line="360"/>
        <w:jc w:val="both"/>
      </w:pPr>
      <w:r>
        <w:rPr>
          <w:rFonts w:ascii="Times New Roman" w:cs="Times New Roman" w:eastAsia="Times New Roman" w:hAnsi="Times New Roman"/>
          <w:sz w:val="24"/>
          <w:szCs w:val="24"/>
        </w:rPr>
        <w:t xml:space="preserve">Le Test de Vocabulaire BV11 est une épreuve classique de psychologie différentielle, composée de cinquante-six items, qui évalue l'aptitude verbale à travers des exercices de synonymes, de définitions et d'identification de figures de style. L'aptitude verbale est considérée comme un prédicteur fiable de la réussite dans les disciplines nécessitant une maîtrise avancée de la langue écrite et orale, notamment le Français, l'Histoire et la Philosophie (Carroll, 1993). Elle constitue la première composante du Score d'Aptitude Littéraire (LA) dans notre application.</w:t>
      </w:r>
    </w:p>
    <w:p>
      <w:pPr>
        <w:spacing w:after="120" w:before="120" w:line="360"/>
        <w:jc w:val="both"/>
      </w:pPr>
      <w:r>
        <w:rPr>
          <w:rFonts w:ascii="Times New Roman" w:cs="Times New Roman" w:eastAsia="Times New Roman" w:hAnsi="Times New Roman"/>
          <w:sz w:val="24"/>
          <w:szCs w:val="24"/>
        </w:rPr>
        <w:t xml:space="preserve">Le Test de Proverbes (PRC), composé de quarante items, évalue la compréhension du sens figuré, l'aptitude à l'abstraction langagière et la richesse de la pensée conceptuelle. Il requiert du sujet qu'il choisisse, parmi plusieurs propositions, celle qui exprime le mieux le sens d'un proverbe donné. Cette épreuve mesure une dimension de l'intelligence verbale qui dépasse la simple connaissance du vocabulaire : elle évalue la capacité à saisir des significations implicites et à raisonner par analogie, aptitudes particulièrement sollicitées dans les disciplines littéraires et sociales. Le PRC constitue la seconde composante du Score d'Aptitude Littéraire.</w:t>
      </w:r>
    </w:p>
    <w:p>
      <w:pPr>
        <w:pStyle w:val="Heading3"/>
      </w:pPr>
      <w:r>
        <w:rPr>
          <w:rFonts w:ascii="Times New Roman" w:cs="Times New Roman" w:eastAsia="Times New Roman" w:hAnsi="Times New Roman"/>
          <w:b/>
          <w:bCs/>
          <w:sz w:val="24"/>
          <w:szCs w:val="24"/>
        </w:rPr>
        <w:t xml:space="preserve">2.3.3  L'étalonnage des scores</w:t>
      </w:r>
    </w:p>
    <w:p>
      <w:pPr>
        <w:spacing w:after="120" w:before="120" w:line="360"/>
        <w:jc w:val="both"/>
      </w:pPr>
      <w:r>
        <w:rPr>
          <w:rFonts w:ascii="Times New Roman" w:cs="Times New Roman" w:eastAsia="Times New Roman" w:hAnsi="Times New Roman"/>
          <w:sz w:val="24"/>
          <w:szCs w:val="24"/>
        </w:rPr>
        <w:t xml:space="preserve">La transformation des scores bruts en scores étalonnés est une étape fondamentale de l'utilisation des tests psychotechniques. Un score brut — c'est-à-dire le nombre de bonnes réponses obtenues — n'a de sens que rapporté à une distribution de référence. L'étalonnage, qui consiste à convertir ce score brut en un score normalisé situé par rapport à la distribution des scores d'une population étalon, permet de rendre les performances comparables d'un test à l'autre et de calculer des indices composites comme le SA et le LA (Anastasi et Urbina, 1997). Dans CapAvenir CMR, la fonction d'étalonnage est implémentée pour chacun des cinq tests et s'applique automatiquement dès que le score brut est calculé.</w:t>
      </w:r>
    </w:p>
    <w:p>
      <w:pPr>
        <w:spacing w:after="60" w:before="6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2.4  État des applications et systèmes d'aide à l'orientation scolaire</w:t>
      </w:r>
    </w:p>
    <w:p>
      <w:pPr>
        <w:spacing w:after="120" w:before="120" w:line="360"/>
        <w:jc w:val="both"/>
      </w:pPr>
      <w:r>
        <w:rPr>
          <w:rFonts w:ascii="Times New Roman" w:cs="Times New Roman" w:eastAsia="Times New Roman" w:hAnsi="Times New Roman"/>
          <w:sz w:val="24"/>
          <w:szCs w:val="24"/>
        </w:rPr>
        <w:t xml:space="preserve">Le développement des technologies numériques a conduit à l'émergence de nombreuses applications et plateformes visant à moderniser le processus d'orientation scolaire. Une analyse comparative des solutions existantes permet d'identifier leurs fonctionnalités, leurs forces et les lacunes que CapAvenir CMR se propose de combler.</w:t>
      </w:r>
    </w:p>
    <w:p>
      <w:pPr>
        <w:pStyle w:val="Heading3"/>
      </w:pPr>
      <w:r>
        <w:rPr>
          <w:rFonts w:ascii="Times New Roman" w:cs="Times New Roman" w:eastAsia="Times New Roman" w:hAnsi="Times New Roman"/>
          <w:b/>
          <w:bCs/>
          <w:sz w:val="24"/>
          <w:szCs w:val="24"/>
        </w:rPr>
        <w:t xml:space="preserve">2.4.1  Analyse de l'existant : fonctionnalités et limites</w:t>
      </w:r>
    </w:p>
    <w:p>
      <w:pPr>
        <w:spacing w:after="100" w:before="160"/>
      </w:pPr>
      <w:r>
        <w:rPr>
          <w:rFonts w:ascii="Times New Roman" w:cs="Times New Roman" w:eastAsia="Times New Roman" w:hAnsi="Times New Roman"/>
          <w:b/>
          <w:bCs/>
          <w:sz w:val="24"/>
          <w:szCs w:val="24"/>
          <w:u w:val="single"/>
        </w:rPr>
        <w:t xml:space="preserve">2.4.1.1  En Europe</w:t>
      </w:r>
    </w:p>
    <w:p>
      <w:pPr>
        <w:spacing w:after="120" w:before="120" w:line="360"/>
        <w:jc w:val="both"/>
      </w:pPr>
      <w:r>
        <w:rPr>
          <w:rFonts w:ascii="Times New Roman" w:cs="Times New Roman" w:eastAsia="Times New Roman" w:hAnsi="Times New Roman"/>
          <w:b/>
          <w:bCs/>
          <w:sz w:val="24"/>
          <w:szCs w:val="24"/>
        </w:rPr>
        <w:t xml:space="preserve">Onisep (France) : </w:t>
      </w:r>
      <w:r>
        <w:rPr>
          <w:rFonts w:ascii="Times New Roman" w:cs="Times New Roman" w:eastAsia="Times New Roman" w:hAnsi="Times New Roman"/>
          <w:sz w:val="24"/>
          <w:szCs w:val="24"/>
        </w:rPr>
        <w:t xml:space="preserve">L'Office National d'Information Sur les Enseignements et les Professions propose un portail web très complet destiné aux élèves, parents et enseignants français (onisep.fr). Il offre des informations détaillées sur les filières, les formations et les métiers, ainsi qu'un outil d'exploration des débouchés professionnels par secteur d'activité. Cependant, il ne propose pas de diagnostic personnalisé fondé sur les aptitudes cognitives de l'élève ni sur ses résultats scolaires. Il s'agit essentiellement d'une base documentaire, non d'un système de recommandation automatisée.</w:t>
      </w:r>
    </w:p>
    <w:p>
      <w:pPr>
        <w:spacing w:after="60" w:before="60"/>
      </w:pPr>
      <w:r>
        <w:rPr>
          <w:rFonts w:ascii="Times New Roman" w:cs="Times New Roman" w:eastAsia="Times New Roman" w:hAnsi="Times New Roman"/>
          <w:sz w:val="24"/>
          <w:szCs w:val="24"/>
        </w:rPr>
        <w:t xml:space="preserve"/>
      </w:r>
    </w:p>
    <w:p>
      <w:pPr>
        <w:spacing w:after="120" w:before="120" w:line="360"/>
        <w:jc w:val="both"/>
      </w:pPr>
      <w:r>
        <w:rPr>
          <w:rFonts w:ascii="Times New Roman" w:cs="Times New Roman" w:eastAsia="Times New Roman" w:hAnsi="Times New Roman"/>
          <w:b/>
          <w:bCs/>
          <w:sz w:val="24"/>
          <w:szCs w:val="24"/>
        </w:rPr>
        <w:t xml:space="preserve">Parcourssup (France) : </w:t>
      </w:r>
      <w:r>
        <w:rPr>
          <w:rFonts w:ascii="Times New Roman" w:cs="Times New Roman" w:eastAsia="Times New Roman" w:hAnsi="Times New Roman"/>
          <w:sz w:val="24"/>
          <w:szCs w:val="24"/>
        </w:rPr>
        <w:t xml:space="preserve">Cette plateforme nationale gère l'orientation des lycéens français vers l'enseignement supérieur. Elle intègre le dossier scolaire de chaque élève et formule des vœux d'admission en fonction des critères des formations visées (Ministère de l'Enseignement Supérieur, France). Bien qu'elle constitue une avancée significative en matière de gestion numérique de l'orientation post-baccalauréat, elle n'opère qu'au niveau du baccalauréat et ne prend pas en charge l'orientation intra-secondaire (choix de série en Seconde), qui est précisément l'objet de CapAvenir CMR.</w:t>
      </w:r>
    </w:p>
    <w:p>
      <w:pPr>
        <w:spacing w:after="100" w:before="160"/>
      </w:pPr>
      <w:r>
        <w:rPr>
          <w:rFonts w:ascii="Times New Roman" w:cs="Times New Roman" w:eastAsia="Times New Roman" w:hAnsi="Times New Roman"/>
          <w:b/>
          <w:bCs/>
          <w:sz w:val="24"/>
          <w:szCs w:val="24"/>
          <w:u w:val="single"/>
        </w:rPr>
        <w:t xml:space="preserve">2.4.1.2  En Afrique</w:t>
      </w:r>
    </w:p>
    <w:p>
      <w:pPr>
        <w:spacing w:after="120" w:before="120" w:line="360"/>
        <w:jc w:val="both"/>
      </w:pPr>
      <w:r>
        <w:rPr>
          <w:rFonts w:ascii="Times New Roman" w:cs="Times New Roman" w:eastAsia="Times New Roman" w:hAnsi="Times New Roman"/>
          <w:b/>
          <w:bCs/>
          <w:sz w:val="24"/>
          <w:szCs w:val="24"/>
        </w:rPr>
        <w:t xml:space="preserve">Wolni (Côte d'Ivoire) : </w:t>
      </w:r>
      <w:r>
        <w:rPr>
          <w:rFonts w:ascii="Times New Roman" w:cs="Times New Roman" w:eastAsia="Times New Roman" w:hAnsi="Times New Roman"/>
          <w:sz w:val="24"/>
          <w:szCs w:val="24"/>
        </w:rPr>
        <w:t xml:space="preserve">Cette application mobile développée en Côte d'Ivoire propose des informations sur les filières universitaires et les débouchés professionnels dans le contexte ivoirien. Elle vise à aider les lycéens à mieux connaître les formations disponibles et les métiers qui y correspondent. Cependant, comme l'Onisep français, elle ne dispose pas de module de diagnostic psychotechnique ni d'analyse des notes scolaires : elle ne propose pas de recommandation personnalisée fondée sur le profil cognitif de l'élève.</w:t>
      </w:r>
    </w:p>
    <w:p>
      <w:pPr>
        <w:spacing w:after="60" w:before="60"/>
      </w:pPr>
      <w:r>
        <w:rPr>
          <w:rFonts w:ascii="Times New Roman" w:cs="Times New Roman" w:eastAsia="Times New Roman" w:hAnsi="Times New Roman"/>
          <w:sz w:val="24"/>
          <w:szCs w:val="24"/>
        </w:rPr>
        <w:t xml:space="preserve"/>
      </w:r>
    </w:p>
    <w:p>
      <w:pPr>
        <w:spacing w:after="120" w:before="120" w:line="360"/>
        <w:jc w:val="both"/>
      </w:pPr>
      <w:r>
        <w:rPr>
          <w:rFonts w:ascii="Times New Roman" w:cs="Times New Roman" w:eastAsia="Times New Roman" w:hAnsi="Times New Roman"/>
          <w:b/>
          <w:bCs/>
          <w:sz w:val="24"/>
          <w:szCs w:val="24"/>
        </w:rPr>
        <w:t xml:space="preserve">Systèmes d'information scolaire (SIS) en Afrique subsaharienne : </w:t>
      </w:r>
      <w:r>
        <w:rPr>
          <w:rFonts w:ascii="Times New Roman" w:cs="Times New Roman" w:eastAsia="Times New Roman" w:hAnsi="Times New Roman"/>
          <w:sz w:val="24"/>
          <w:szCs w:val="24"/>
        </w:rPr>
        <w:t xml:space="preserve">Plusieurs pays d'Afrique subsaharienne ont développé ou importé des systèmes de gestion des informations scolaires (de type SIGE — Système d'Information pour la Gestion de l'Éducation) qui centralisent les données académiques des élèves. Ces systèmes, souvent mis en place avec l'appui de l'UNESCO ou de la Banque Mondiale, se concentrent sur la gestion administrative et statistique et ne comportent pas de fonctionnalités d'orientation individualisée (UNESCO, 2012).</w:t>
      </w:r>
    </w:p>
    <w:p>
      <w:pPr>
        <w:spacing w:after="100" w:before="160"/>
      </w:pPr>
      <w:r>
        <w:rPr>
          <w:rFonts w:ascii="Times New Roman" w:cs="Times New Roman" w:eastAsia="Times New Roman" w:hAnsi="Times New Roman"/>
          <w:b/>
          <w:bCs/>
          <w:sz w:val="24"/>
          <w:szCs w:val="24"/>
          <w:u w:val="single"/>
        </w:rPr>
        <w:t xml:space="preserve">2.4.1.3  Au Cameroun</w:t>
      </w:r>
    </w:p>
    <w:p>
      <w:pPr>
        <w:spacing w:after="120" w:before="120" w:line="360"/>
        <w:jc w:val="both"/>
      </w:pPr>
      <w:r>
        <w:rPr>
          <w:rFonts w:ascii="Times New Roman" w:cs="Times New Roman" w:eastAsia="Times New Roman" w:hAnsi="Times New Roman"/>
          <w:b/>
          <w:bCs/>
          <w:sz w:val="24"/>
          <w:szCs w:val="24"/>
        </w:rPr>
        <w:t xml:space="preserve">E-SCHOOL (Cyrille Moneyemfek Ndongo, ENS Yaoundé, 2023) : </w:t>
      </w:r>
      <w:r>
        <w:rPr>
          <w:rFonts w:ascii="Times New Roman" w:cs="Times New Roman" w:eastAsia="Times New Roman" w:hAnsi="Times New Roman"/>
          <w:sz w:val="24"/>
          <w:szCs w:val="24"/>
        </w:rPr>
        <w:t xml:space="preserve">Cette plateforme web, développée dans le cadre d'un mémoire de DIPES II à l'ENS de Yaoundé, propose un système de gestion scolaire incluant une messagerie interne et un module de notification par SMS à destination des parents. Bien que constituant une avancée notable dans la numérisation de la gestion scolaire camerounaise, E-SCHOOL ne dispose d'aucune fonctionnalité d'orientation scolaire. Il ne permet pas l'administration de tests psychotechniques, ne calcule pas de scores d'aptitude et ne produit aucune recommandation de filière.</w:t>
      </w:r>
    </w:p>
    <w:p>
      <w:pPr>
        <w:spacing w:after="60" w:before="60"/>
      </w:pPr>
      <w:r>
        <w:rPr>
          <w:rFonts w:ascii="Times New Roman" w:cs="Times New Roman" w:eastAsia="Times New Roman" w:hAnsi="Times New Roman"/>
          <w:sz w:val="24"/>
          <w:szCs w:val="24"/>
        </w:rPr>
        <w:t xml:space="preserve"/>
      </w:r>
    </w:p>
    <w:p>
      <w:pPr>
        <w:spacing w:after="120" w:before="120" w:line="360"/>
        <w:jc w:val="both"/>
      </w:pPr>
      <w:r>
        <w:rPr>
          <w:rFonts w:ascii="Times New Roman" w:cs="Times New Roman" w:eastAsia="Times New Roman" w:hAnsi="Times New Roman"/>
          <w:b/>
          <w:bCs/>
          <w:sz w:val="24"/>
          <w:szCs w:val="24"/>
        </w:rPr>
        <w:t xml:space="preserve">E-SchoolConnect (Ghomsi Sikali Diane, ENS Yaoundé, 2025) : </w:t>
      </w:r>
      <w:r>
        <w:rPr>
          <w:rFonts w:ascii="Times New Roman" w:cs="Times New Roman" w:eastAsia="Times New Roman" w:hAnsi="Times New Roman"/>
          <w:sz w:val="24"/>
          <w:szCs w:val="24"/>
        </w:rPr>
        <w:t xml:space="preserve">Développée dans le cadre du présent cycle de formation à l'ENS de Yaoundé, cette plateforme se concentre sur la notification des parents concernant la vie scolaire de leurs enfants (absences, résultats, comportement) et l'échange via un forum. Comme E-SCHOOL, elle ne traite pas de la problématique de l'orientation scolaire vers les filières de second cycle.</w:t>
      </w:r>
    </w:p>
    <w:p>
      <w:pPr>
        <w:spacing w:after="60" w:before="60"/>
      </w:pPr>
      <w:r>
        <w:rPr>
          <w:rFonts w:ascii="Times New Roman" w:cs="Times New Roman" w:eastAsia="Times New Roman" w:hAnsi="Times New Roman"/>
          <w:sz w:val="24"/>
          <w:szCs w:val="24"/>
        </w:rPr>
        <w:t xml:space="preserve"/>
      </w:r>
    </w:p>
    <w:p>
      <w:pPr>
        <w:spacing w:after="120" w:before="120" w:line="360"/>
        <w:jc w:val="both"/>
      </w:pPr>
      <w:r>
        <w:rPr>
          <w:rFonts w:ascii="Times New Roman" w:cs="Times New Roman" w:eastAsia="Times New Roman" w:hAnsi="Times New Roman"/>
          <w:sz w:val="24"/>
          <w:szCs w:val="24"/>
        </w:rPr>
        <w:t xml:space="preserve">Au regard de cet état de l'art, il apparaît clairement qu'aucune des solutions existantes — ni en Europe, ni en Afrique, ni spécifiquement au Cameroun — ne propose une intégration complète des cinq dimensions pertinentes pour l'orientation de la Troisième vers la Seconde : notes multi-trimestrielles dans les matières scientifiques, notes multi-trimestrielles dans les matières littéraires, scores aux tests psychotechniques standardisés, centres d'intérêt et projet professionnel, et contexte socio-économique familial. C'est précisément ce vide que CapAvenir CMR se propose de combler.</w:t>
      </w:r>
    </w:p>
    <w:p>
      <w:pPr>
        <w:spacing w:after="60" w:before="6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2.5  Systèmes de recommandation et intelligence artificielle en éducation</w:t>
      </w:r>
    </w:p>
    <w:p>
      <w:pPr>
        <w:spacing w:after="120" w:before="120" w:line="360"/>
        <w:jc w:val="both"/>
      </w:pPr>
      <w:r>
        <w:rPr>
          <w:rFonts w:ascii="Times New Roman" w:cs="Times New Roman" w:eastAsia="Times New Roman" w:hAnsi="Times New Roman"/>
          <w:sz w:val="24"/>
          <w:szCs w:val="24"/>
        </w:rPr>
        <w:t xml:space="preserve">Au-delà des applications spécifiquement dédiées à l'orientation, la recherche en informatique éducative a produit depuis les années 1980 un corpus important de travaux sur les systèmes intelligents d'aide à l'apprentissage et à la décision éducative. Ces travaux fournissent les fondements théoriques et techniques sur lesquels s'appuie CapAvenir CMR.</w:t>
      </w:r>
    </w:p>
    <w:p>
      <w:pPr>
        <w:pStyle w:val="Heading3"/>
      </w:pPr>
      <w:r>
        <w:rPr>
          <w:rFonts w:ascii="Times New Roman" w:cs="Times New Roman" w:eastAsia="Times New Roman" w:hAnsi="Times New Roman"/>
          <w:b/>
          <w:bCs/>
          <w:sz w:val="24"/>
          <w:szCs w:val="24"/>
        </w:rPr>
        <w:t xml:space="preserve">2.5.1  Les systèmes experts et les moteurs d'inférence à règles</w:t>
      </w:r>
    </w:p>
    <w:p>
      <w:pPr>
        <w:spacing w:after="120" w:before="120" w:line="360"/>
        <w:jc w:val="both"/>
      </w:pPr>
      <w:r>
        <w:rPr>
          <w:rFonts w:ascii="Times New Roman" w:cs="Times New Roman" w:eastAsia="Times New Roman" w:hAnsi="Times New Roman"/>
          <w:sz w:val="24"/>
          <w:szCs w:val="24"/>
        </w:rPr>
        <w:t xml:space="preserve">Les systèmes experts constituent l'une des premières applications de l'intelligence artificielle à des domaines nécessitant une expertise spécialisée. Ils reposent sur une base de connaissances formalisées sous forme de règles conditionnelles (règles « si... alors... ») et un moteur d'inférence capable d'appliquer ces règles à des données en entrée pour produire des conclusions ou des recommandations (Jackson, 1998). Dans le domaine de l'éducation, des systèmes experts ont été développés dès les années 1980 pour automatiser des décisions d'orientation ou de sélection (Sleeman et Brown, 1982).</w:t>
      </w:r>
    </w:p>
    <w:p>
      <w:pPr>
        <w:spacing w:after="120" w:before="120" w:line="360"/>
        <w:jc w:val="both"/>
      </w:pPr>
      <w:r>
        <w:rPr>
          <w:rFonts w:ascii="Times New Roman" w:cs="Times New Roman" w:eastAsia="Times New Roman" w:hAnsi="Times New Roman"/>
          <w:sz w:val="24"/>
          <w:szCs w:val="24"/>
        </w:rPr>
        <w:t xml:space="preserve">Le moteur d'inférence de CapAvenir CMR est directement inspiré de cette approche. Il opère sur la base de règles formalisées intégrant les scores d'aptitude (SA et LA), les moyennes scolaires par filière sur un à trois trimestres, et le revenu familial. Ces règles produisent l'un des cinq statuts d'orientation possibles — Confirmé, En Attente, Probation, Révisé Définitivement, ou Indéterminé — assortis d'un score de confiance exprimé en pourcentage. Ce score de confiance, qui exprime le degré de certitude de la recommandation formulée, est un apport essentiel par rapport aux pratiques manuelles, qui ne quantifient généralement pas l'incertitude de leurs conclusions.</w:t>
      </w:r>
    </w:p>
    <w:p>
      <w:pPr>
        <w:pStyle w:val="Heading3"/>
      </w:pPr>
      <w:r>
        <w:rPr>
          <w:rFonts w:ascii="Times New Roman" w:cs="Times New Roman" w:eastAsia="Times New Roman" w:hAnsi="Times New Roman"/>
          <w:b/>
          <w:bCs/>
          <w:sz w:val="24"/>
          <w:szCs w:val="24"/>
        </w:rPr>
        <w:t xml:space="preserve">2.5.2  Les systèmes de recommandation personnalisée</w:t>
      </w:r>
    </w:p>
    <w:p>
      <w:pPr>
        <w:spacing w:after="120" w:before="120" w:line="360"/>
        <w:jc w:val="both"/>
      </w:pPr>
      <w:r>
        <w:rPr>
          <w:rFonts w:ascii="Times New Roman" w:cs="Times New Roman" w:eastAsia="Times New Roman" w:hAnsi="Times New Roman"/>
          <w:sz w:val="24"/>
          <w:szCs w:val="24"/>
        </w:rPr>
        <w:t xml:space="preserve">Les systèmes de recommandation constituent une branche de l'intelligence artificielle qui vise à fournir à un utilisateur des suggestions personnalisées en fonction de son profil et de son historique d'interactions. Ils se décomposent classiquement en trois familles : le filtrage collaboratif, le filtrage basé sur le contenu, et les approches hybrides (Ricci, Rokach et Shapira, 2011). Dans le contexte éducatif, ces systèmes ont notamment été appliqués à la recommandation de ressources pédagogiques, de parcours d'apprentissage adaptatifs, et plus récemment, d'orientations de formation.</w:t>
      </w:r>
    </w:p>
    <w:p>
      <w:pPr>
        <w:spacing w:after="120" w:before="120" w:line="360"/>
        <w:jc w:val="both"/>
      </w:pPr>
      <w:r>
        <w:rPr>
          <w:rFonts w:ascii="Times New Roman" w:cs="Times New Roman" w:eastAsia="Times New Roman" w:hAnsi="Times New Roman"/>
          <w:sz w:val="24"/>
          <w:szCs w:val="24"/>
        </w:rPr>
        <w:t xml:space="preserve">CapAvenir CMR s'inscrit dans la famille du filtrage basé sur le contenu (content-based filtering) : les recommandations sont fondées sur les caractéristiques propres du profil de l'élève — ses scores, ses notes, ses préférences, son contexte familial — et non sur des comparaisons avec d'autres utilisateurs. Cette approche est particulièrement adaptée au contexte camerounais où la collecte de grandes bases de données d'utilisateurs est difficile, et où la personnalisation individuelle est prioritaire.</w:t>
      </w:r>
    </w:p>
    <w:p>
      <w:pPr>
        <w:pStyle w:val="Heading3"/>
      </w:pPr>
      <w:r>
        <w:rPr>
          <w:rFonts w:ascii="Times New Roman" w:cs="Times New Roman" w:eastAsia="Times New Roman" w:hAnsi="Times New Roman"/>
          <w:b/>
          <w:bCs/>
          <w:sz w:val="24"/>
          <w:szCs w:val="24"/>
        </w:rPr>
        <w:t xml:space="preserve">2.5.3  Les agents conversationnels en éducation</w:t>
      </w:r>
    </w:p>
    <w:p>
      <w:pPr>
        <w:spacing w:after="120" w:before="120" w:line="360"/>
        <w:jc w:val="both"/>
      </w:pPr>
      <w:r>
        <w:rPr>
          <w:rFonts w:ascii="Times New Roman" w:cs="Times New Roman" w:eastAsia="Times New Roman" w:hAnsi="Times New Roman"/>
          <w:sz w:val="24"/>
          <w:szCs w:val="24"/>
        </w:rPr>
        <w:t xml:space="preserve">Les agents conversationnels — également appelés chatbots ou tuteurs intelligents — constituent un domaine de recherche actif en informatique éducative depuis les années 1990. Les travaux fondateurs de Sleeman et Brown (1982) sur les Intelligent Tutoring Systems (ITS) ont posé les bases théoriques de l'utilisation de l'IA pour simuler un accompagnement pédagogique individualisé. L'émergence récente des grands modèles de langage (Large Language Models, LLMs), notamment les modèles GPT d'OpenAI et le modèle Claude d'Anthropic, a radicalement transformé les capacités des agents conversationnels en leur permettant de produire des réponses contextualisées, nuancées et pédagogiquement pertinentes en langage naturel.</w:t>
      </w:r>
    </w:p>
    <w:p>
      <w:pPr>
        <w:spacing w:after="120" w:before="120" w:line="360"/>
        <w:jc w:val="both"/>
      </w:pPr>
      <w:r>
        <w:rPr>
          <w:rFonts w:ascii="Times New Roman" w:cs="Times New Roman" w:eastAsia="Times New Roman" w:hAnsi="Times New Roman"/>
          <w:sz w:val="24"/>
          <w:szCs w:val="24"/>
        </w:rPr>
        <w:t xml:space="preserve">Dans CapAvenir CMR, l'agent conversationnel se déclenche automatiquement lorsque le moteur d'inférence détecte un conflit entre le profil objectif de l'élève et la série qu'il souhaite rejoindre. Deux types de conflits sont gérés : le cas du « Rêveur » (aptitudes scientifiques dominantes mais souhait de rejoindre la Série A) et le cas du « Décalé » (aptitudes littéraires dominantes mais souhait de rejoindre la Série C). Lorsqu'une clé d'API Anthropic est disponible, l'agent s'appuie sur le modèle Claude (claude-sonnet-4-20250514) pour générer des réponses adaptées au contexte spécifique de l'élève ; en mode hors connexion, il utilise un ensemble de réponses simulées localement.</w:t>
      </w:r>
    </w:p>
    <w:p>
      <w:pPr>
        <w:spacing w:after="60" w:before="6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2.6  Modèles de développement logiciel</w:t>
      </w:r>
    </w:p>
    <w:p>
      <w:pPr>
        <w:spacing w:after="120" w:before="120" w:line="360"/>
        <w:jc w:val="both"/>
      </w:pPr>
      <w:r>
        <w:rPr>
          <w:rFonts w:ascii="Times New Roman" w:cs="Times New Roman" w:eastAsia="Times New Roman" w:hAnsi="Times New Roman"/>
          <w:sz w:val="24"/>
          <w:szCs w:val="24"/>
        </w:rPr>
        <w:t xml:space="preserve">La conception d'une application logicielle, quelle que soit sa complexité, nécessite d'adopter un cadre méthodologique qui structure le processus de développement depuis l'expression des besoins jusqu'à la livraison du produit final. Ces cadres, appelés modèles de cycle de vie ou modèles de développement logiciel, permettent d'organiser les activités, de planifier les ressources et de maîtriser la qualité du produit (Lonchamp, 2015). Il existe deux grandes familles de modèles : les modèles traditionnels (ou classiques) et les modèles agiles.</w:t>
      </w:r>
    </w:p>
    <w:p>
      <w:pPr>
        <w:pStyle w:val="Heading3"/>
      </w:pPr>
      <w:r>
        <w:rPr>
          <w:rFonts w:ascii="Times New Roman" w:cs="Times New Roman" w:eastAsia="Times New Roman" w:hAnsi="Times New Roman"/>
          <w:b/>
          <w:bCs/>
          <w:sz w:val="24"/>
          <w:szCs w:val="24"/>
        </w:rPr>
        <w:t xml:space="preserve">2.6.1  Les modèles traditionnels</w:t>
      </w:r>
    </w:p>
    <w:p>
      <w:pPr>
        <w:spacing w:after="120" w:before="120" w:line="360"/>
        <w:jc w:val="both"/>
      </w:pPr>
      <w:r>
        <w:rPr>
          <w:rFonts w:ascii="Times New Roman" w:cs="Times New Roman" w:eastAsia="Times New Roman" w:hAnsi="Times New Roman"/>
          <w:sz w:val="24"/>
          <w:szCs w:val="24"/>
        </w:rPr>
        <w:t xml:space="preserve">Les modèles traditionnels de développement logiciel sont caractérisés par une approche séquentielle dans laquelle chaque phase du développement doit être entièrement complétée avant que la phase suivante ne commence. Trois modèles représentatifs de cette famille sont brièvement présentés ici.</w:t>
      </w:r>
    </w:p>
    <w:p>
      <w:pPr>
        <w:spacing w:after="120" w:before="120" w:line="360"/>
        <w:jc w:val="both"/>
      </w:pPr>
      <w:r>
        <w:rPr>
          <w:rFonts w:ascii="Times New Roman" w:cs="Times New Roman" w:eastAsia="Times New Roman" w:hAnsi="Times New Roman"/>
          <w:b/>
          <w:bCs/>
          <w:sz w:val="24"/>
          <w:szCs w:val="24"/>
        </w:rPr>
        <w:t xml:space="preserve">a) Le modèle en cascade : </w:t>
      </w:r>
      <w:r>
        <w:rPr>
          <w:rFonts w:ascii="Times New Roman" w:cs="Times New Roman" w:eastAsia="Times New Roman" w:hAnsi="Times New Roman"/>
          <w:sz w:val="24"/>
          <w:szCs w:val="24"/>
        </w:rPr>
        <w:t xml:space="preserve">Proposé par Royce (1970), ce modèle décompose le développement logiciel en phases successives et non itératives : analyse des besoins, conception, implémentation, tests et maintenance. Il convient aux projets dont les besoins sont stables et bien définis dès le départ. Sa principale limite est son manque de flexibilité : toute modification des besoins en cours de développement entraîne des coûts élevés de reprise (Alshamrani et Bahattab, 2015).</w:t>
      </w:r>
    </w:p>
    <w:p>
      <w:pPr>
        <w:spacing w:after="60" w:before="60"/>
      </w:pPr>
      <w:r>
        <w:rPr>
          <w:rFonts w:ascii="Times New Roman" w:cs="Times New Roman" w:eastAsia="Times New Roman" w:hAnsi="Times New Roman"/>
          <w:sz w:val="24"/>
          <w:szCs w:val="24"/>
        </w:rPr>
        <w:t xml:space="preserve"/>
      </w:r>
    </w:p>
    <w:p>
      <w:pPr>
        <w:spacing w:after="120" w:before="120" w:line="360"/>
        <w:jc w:val="both"/>
      </w:pPr>
      <w:r>
        <w:rPr>
          <w:rFonts w:ascii="Times New Roman" w:cs="Times New Roman" w:eastAsia="Times New Roman" w:hAnsi="Times New Roman"/>
          <w:b/>
          <w:bCs/>
          <w:sz w:val="24"/>
          <w:szCs w:val="24"/>
        </w:rPr>
        <w:t xml:space="preserve">b) Le modèle en V : </w:t>
      </w:r>
      <w:r>
        <w:rPr>
          <w:rFonts w:ascii="Times New Roman" w:cs="Times New Roman" w:eastAsia="Times New Roman" w:hAnsi="Times New Roman"/>
          <w:sz w:val="24"/>
          <w:szCs w:val="24"/>
        </w:rPr>
        <w:t xml:space="preserve">Variante du modèle en cascade, le modèle en V associe à chaque phase de développement une phase de test correspondante, ce qui renforce la traçabilité de la qualité tout au long du cycle de vie. Il convient bien aux projets institutionnels où la validation formelle de chaque étape est requise (Lonchamp, 2015).</w:t>
      </w:r>
    </w:p>
    <w:p>
      <w:pPr>
        <w:spacing w:after="60" w:before="60"/>
      </w:pPr>
      <w:r>
        <w:rPr>
          <w:rFonts w:ascii="Times New Roman" w:cs="Times New Roman" w:eastAsia="Times New Roman" w:hAnsi="Times New Roman"/>
          <w:sz w:val="24"/>
          <w:szCs w:val="24"/>
        </w:rPr>
        <w:t xml:space="preserve"/>
      </w:r>
    </w:p>
    <w:p>
      <w:pPr>
        <w:spacing w:after="120" w:before="120" w:line="360"/>
        <w:jc w:val="both"/>
      </w:pPr>
      <w:r>
        <w:rPr>
          <w:rFonts w:ascii="Times New Roman" w:cs="Times New Roman" w:eastAsia="Times New Roman" w:hAnsi="Times New Roman"/>
          <w:b/>
          <w:bCs/>
          <w:sz w:val="24"/>
          <w:szCs w:val="24"/>
        </w:rPr>
        <w:t xml:space="preserve">c) Le modèle en spirale : </w:t>
      </w:r>
      <w:r>
        <w:rPr>
          <w:rFonts w:ascii="Times New Roman" w:cs="Times New Roman" w:eastAsia="Times New Roman" w:hAnsi="Times New Roman"/>
          <w:sz w:val="24"/>
          <w:szCs w:val="24"/>
        </w:rPr>
        <w:t xml:space="preserve">Défini par Boehm (1988), ce modèle introduit une dimension itérative et une gestion explicite des risques. À chaque tour de spirale, l'équipe analyse les risques, conçoit une solution, l'implémente et l'évalue. Il convient aux projets innovants présentant des incertitudes techniques importantes.</w:t>
      </w:r>
    </w:p>
    <w:p>
      <w:pPr>
        <w:pStyle w:val="Heading3"/>
      </w:pPr>
      <w:r>
        <w:rPr>
          <w:rFonts w:ascii="Times New Roman" w:cs="Times New Roman" w:eastAsia="Times New Roman" w:hAnsi="Times New Roman"/>
          <w:b/>
          <w:bCs/>
          <w:sz w:val="24"/>
          <w:szCs w:val="24"/>
        </w:rPr>
        <w:t xml:space="preserve">2.6.2  Les modèles agiles</w:t>
      </w:r>
    </w:p>
    <w:p>
      <w:pPr>
        <w:spacing w:after="120" w:before="120" w:line="360"/>
        <w:jc w:val="both"/>
      </w:pPr>
      <w:r>
        <w:rPr>
          <w:rFonts w:ascii="Times New Roman" w:cs="Times New Roman" w:eastAsia="Times New Roman" w:hAnsi="Times New Roman"/>
          <w:sz w:val="24"/>
          <w:szCs w:val="24"/>
        </w:rPr>
        <w:t xml:space="preserve">Face aux limites des approches traditionnelles pour des projets à périmètre évolutif, les méthodes agiles ont émergé à partir des années 1990 comme une alternative plus flexible et plus centrée sur la valeur livrée au client (Beck et al., 2001 — Manifeste Agile). Elles reposent sur quatre valeurs fondamentales : la priorité donnée aux individus et aux interactions sur les processus, la livraison de logiciel fonctionnel sur la documentation exhaustive, la collaboration avec le client sur la négociation contractuelle, et la capacité à s'adapter au changement sur le suivi d'un plan.</w:t>
      </w:r>
    </w:p>
    <w:p>
      <w:pPr>
        <w:spacing w:after="120" w:before="120" w:line="360"/>
        <w:jc w:val="both"/>
      </w:pPr>
      <w:r>
        <w:rPr>
          <w:rFonts w:ascii="Times New Roman" w:cs="Times New Roman" w:eastAsia="Times New Roman" w:hAnsi="Times New Roman"/>
          <w:b/>
          <w:bCs/>
          <w:sz w:val="24"/>
          <w:szCs w:val="24"/>
        </w:rPr>
        <w:t xml:space="preserve">a) La méthode eXtreme Programming (XP) : </w:t>
      </w:r>
      <w:r>
        <w:rPr>
          <w:rFonts w:ascii="Times New Roman" w:cs="Times New Roman" w:eastAsia="Times New Roman" w:hAnsi="Times New Roman"/>
          <w:sz w:val="24"/>
          <w:szCs w:val="24"/>
        </w:rPr>
        <w:t xml:space="preserve">Proposée par Beck (1999), XP est une méthode agile centrée sur les pratiques techniques (programmation en binôme, développement piloté par les tests, refactoring continu, intégration continue, livraisons fréquentes). Elle est particulièrement adaptée aux petites équipes travaillant sur des projets où la qualité du code est prioritaire.</w:t>
      </w:r>
    </w:p>
    <w:p>
      <w:pPr>
        <w:spacing w:after="60" w:before="60"/>
      </w:pPr>
      <w:r>
        <w:rPr>
          <w:rFonts w:ascii="Times New Roman" w:cs="Times New Roman" w:eastAsia="Times New Roman" w:hAnsi="Times New Roman"/>
          <w:sz w:val="24"/>
          <w:szCs w:val="24"/>
        </w:rPr>
        <w:t xml:space="preserve"/>
      </w:r>
    </w:p>
    <w:p>
      <w:pPr>
        <w:spacing w:after="120" w:before="120" w:line="360"/>
        <w:jc w:val="both"/>
      </w:pPr>
      <w:r>
        <w:rPr>
          <w:rFonts w:ascii="Times New Roman" w:cs="Times New Roman" w:eastAsia="Times New Roman" w:hAnsi="Times New Roman"/>
          <w:b/>
          <w:bCs/>
          <w:sz w:val="24"/>
          <w:szCs w:val="24"/>
        </w:rPr>
        <w:t xml:space="preserve">b) La méthode SCRUM : </w:t>
      </w:r>
      <w:r>
        <w:rPr>
          <w:rFonts w:ascii="Times New Roman" w:cs="Times New Roman" w:eastAsia="Times New Roman" w:hAnsi="Times New Roman"/>
          <w:sz w:val="24"/>
          <w:szCs w:val="24"/>
        </w:rPr>
        <w:t xml:space="preserve">Formalisée par Schwaber et Sutherland (1995) et décrite dans le Scrum Guide (Schwaber et Sutherland, 2020), SCRUM est aujourd'hui la méthode agile la plus répandue dans l'industrie logicielle. Elle structure le développement en cycles de courte durée appelés sprints (généralement deux à quatre semaines), à l'issue desquels une version fonctionnelle et potentiellement livrable du produit est présentée au client. L'équipe SCRUM se compose de trois rôles principaux : le Product Owner, qui priorise les besoins ; le Scrum Master, qui facilite le processus ; et l'équipe de développement, qui réalise le produit. Les artefacts centraux sont le Product Backlog (liste priorisée de toutes les fonctionnalités à développer) et le Sprint Backlog (sous-ensemble de fonctionnalités à réaliser dans le sprint en cours).</w:t>
      </w:r>
    </w:p>
    <w:p>
      <w:pPr>
        <w:spacing w:after="60" w:before="60"/>
      </w:pPr>
      <w:r>
        <w:rPr>
          <w:rFonts w:ascii="Times New Roman" w:cs="Times New Roman" w:eastAsia="Times New Roman" w:hAnsi="Times New Roman"/>
          <w:sz w:val="24"/>
          <w:szCs w:val="24"/>
        </w:rPr>
        <w:t xml:space="preserve"/>
      </w:r>
    </w:p>
    <w:p>
      <w:pPr>
        <w:spacing w:after="120" w:before="120" w:line="360"/>
        <w:jc w:val="both"/>
      </w:pPr>
      <w:r>
        <w:rPr>
          <w:rFonts w:ascii="Times New Roman" w:cs="Times New Roman" w:eastAsia="Times New Roman" w:hAnsi="Times New Roman"/>
          <w:b/>
          <w:bCs/>
          <w:sz w:val="24"/>
          <w:szCs w:val="24"/>
        </w:rPr>
        <w:t xml:space="preserve">c) La méthode RUP (Rational Unified Process) : </w:t>
      </w:r>
      <w:r>
        <w:rPr>
          <w:rFonts w:ascii="Times New Roman" w:cs="Times New Roman" w:eastAsia="Times New Roman" w:hAnsi="Times New Roman"/>
          <w:sz w:val="24"/>
          <w:szCs w:val="24"/>
        </w:rPr>
        <w:t xml:space="preserve">Développé par Rational Software (Kruchten, 1999), RUP est un processus de développement logiciel itératif qui se décompose en quatre phases (Inception, Élaboration, Construction, Transition) et met l'accent sur l'architecture logicielle, la gestion des risques et la modélisation UML. Il est davantage adapté aux grands projets institutionnels qu'aux applications de taille moyenne comme CapAvenir CMR.</w:t>
      </w:r>
    </w:p>
    <w:p>
      <w:pPr>
        <w:pStyle w:val="Heading3"/>
      </w:pPr>
      <w:r>
        <w:rPr>
          <w:rFonts w:ascii="Times New Roman" w:cs="Times New Roman" w:eastAsia="Times New Roman" w:hAnsi="Times New Roman"/>
          <w:b/>
          <w:bCs/>
          <w:sz w:val="24"/>
          <w:szCs w:val="24"/>
        </w:rPr>
        <w:t xml:space="preserve">2.6.3  Tableau comparatif des méthodes XP, SCRUM et RUP</w:t>
      </w:r>
    </w:p>
    <w:p>
      <w:pPr>
        <w:spacing w:after="60" w:before="60"/>
      </w:pPr>
      <w:r>
        <w:rPr>
          <w:rFonts w:ascii="Times New Roman" w:cs="Times New Roman" w:eastAsia="Times New Roman" w:hAnsi="Times New Roman"/>
          <w:sz w:val="24"/>
          <w:szCs w:val="24"/>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100"/>
        <w:gridCol w:w="2100"/>
      </w:tblGrid>
      <w:tr>
        <w:trPr>
          <w:tblHeader/>
        </w:trPr>
        <w:tc>
          <w:tcPr>
            <w:tcW w:type="dxa" w:w="32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Caractéristiques</w:t>
            </w:r>
          </w:p>
        </w:tc>
        <w:tc>
          <w:tcPr>
            <w:tcW w:type="dxa" w:w="20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RUP</w:t>
            </w:r>
          </w:p>
        </w:tc>
        <w:tc>
          <w:tcPr>
            <w:tcW w:type="dxa" w:w="21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XP</w:t>
            </w:r>
          </w:p>
        </w:tc>
        <w:tc>
          <w:tcPr>
            <w:tcW w:type="dxa" w:w="2100"/>
            <w:tcBorders>
              <w:top w:val="single" w:color="999999" w:sz="1"/>
              <w:left w:val="single" w:color="999999" w:sz="1"/>
              <w:bottom w:val="single" w:color="999999" w:sz="1"/>
              <w:right w:val="single" w:color="999999"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SCRUM</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Itérative et incrémentale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Centrée sur l'architecture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Centrée sur les tests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Interaction client-développeur</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Convient aux petites équipes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Convient aux grands projets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Gestion des risques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both"/>
            </w:pPr>
            <w:r>
              <w:rPr>
                <w:rFonts w:ascii="Times New Roman" w:cs="Times New Roman" w:eastAsia="Times New Roman" w:hAnsi="Times New Roman"/>
                <w:sz w:val="22"/>
                <w:szCs w:val="22"/>
              </w:rPr>
              <w:t xml:space="preserve">Documentation formelle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2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r>
    </w:tbl>
    <w:p>
      <w:pPr>
        <w:spacing w:after="60" w:before="60"/>
      </w:pPr>
      <w:r>
        <w:rPr>
          <w:rFonts w:ascii="Times New Roman" w:cs="Times New Roman" w:eastAsia="Times New Roman" w:hAnsi="Times New Roman"/>
          <w:sz w:val="24"/>
          <w:szCs w:val="24"/>
        </w:rPr>
        <w:t xml:space="preserve"/>
      </w:r>
    </w:p>
    <w:p>
      <w:pPr>
        <w:spacing w:after="120" w:before="120" w:line="360"/>
        <w:jc w:val="both"/>
      </w:pPr>
      <w:r>
        <w:rPr>
          <w:rFonts w:ascii="Times New Roman" w:cs="Times New Roman" w:eastAsia="Times New Roman" w:hAnsi="Times New Roman"/>
          <w:sz w:val="24"/>
          <w:szCs w:val="24"/>
        </w:rPr>
        <w:t xml:space="preserve">Note : ++ = très adapté, + = adapté, – = peu adapté. Adapté de Lonchamp (2015).</w:t>
      </w:r>
    </w:p>
    <w:p>
      <w:pPr>
        <w:spacing w:after="60" w:before="6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2.7  Ergonomie des interfaces Homme-Machine (IHM) dans les applications éducatives</w:t>
      </w:r>
    </w:p>
    <w:p>
      <w:pPr>
        <w:spacing w:after="120" w:before="120" w:line="360"/>
        <w:jc w:val="both"/>
      </w:pPr>
      <w:r>
        <w:rPr>
          <w:rFonts w:ascii="Times New Roman" w:cs="Times New Roman" w:eastAsia="Times New Roman" w:hAnsi="Times New Roman"/>
          <w:sz w:val="24"/>
          <w:szCs w:val="24"/>
        </w:rPr>
        <w:t xml:space="preserve">La qualité d'une application pédagogique ne se mesure pas seulement à la pertinence de ses algorithmes ou à la richesse de ses fonctionnalités : elle dépend aussi de la facilité avec laquelle ses utilisateurs — des élèves, des parents et des conseillers d'orientation qui ne sont pas nécessairement des experts en informatique — peuvent en exploiter toutes les possibilités. C'est l'objet de l'ergonomie des interfaces homme-machine, discipline qui étudie l'adéquation entre un système interactif et les caractéristiques, les besoins et les tâches de ses utilisateurs (Bastien et Scapin, 1993).</w:t>
      </w:r>
    </w:p>
    <w:p>
      <w:pPr>
        <w:pStyle w:val="Heading3"/>
      </w:pPr>
      <w:r>
        <w:rPr>
          <w:rFonts w:ascii="Times New Roman" w:cs="Times New Roman" w:eastAsia="Times New Roman" w:hAnsi="Times New Roman"/>
          <w:b/>
          <w:bCs/>
          <w:sz w:val="24"/>
          <w:szCs w:val="24"/>
        </w:rPr>
        <w:t xml:space="preserve">2.7.1  Les critères de conception ergonomique</w:t>
      </w:r>
    </w:p>
    <w:p>
      <w:pPr>
        <w:spacing w:after="120" w:before="120" w:line="360"/>
        <w:jc w:val="both"/>
      </w:pPr>
      <w:r>
        <w:rPr>
          <w:rFonts w:ascii="Times New Roman" w:cs="Times New Roman" w:eastAsia="Times New Roman" w:hAnsi="Times New Roman"/>
          <w:sz w:val="24"/>
          <w:szCs w:val="24"/>
        </w:rPr>
        <w:t xml:space="preserve">Bastien et Scapin (1993) ont proposé un référentiel de huit critères ergonomiques, largement utilisé pour évaluer la qualité des interfaces logicielles. Ces critères guident les choix de conception de CapAvenir CMR :</w:t>
      </w:r>
    </w:p>
    <w:p>
      <w:pPr>
        <w:pStyle w:val="ListParagraph"/>
        <w:numPr>
          <w:ilvl w:val="0"/>
          <w:numId w:val="2"/>
        </w:numPr>
        <w:spacing w:after="80" w:before="80" w:line="360"/>
      </w:pPr>
      <w:r>
        <w:rPr>
          <w:rFonts w:ascii="Times New Roman" w:cs="Times New Roman" w:eastAsia="Times New Roman" w:hAnsi="Times New Roman"/>
          <w:b/>
          <w:bCs/>
          <w:sz w:val="24"/>
          <w:szCs w:val="24"/>
        </w:rPr>
        <w:t xml:space="preserve">La guidabilité : </w:t>
      </w:r>
      <w:r>
        <w:rPr>
          <w:rFonts w:ascii="Times New Roman" w:cs="Times New Roman" w:eastAsia="Times New Roman" w:hAnsi="Times New Roman"/>
          <w:sz w:val="24"/>
          <w:szCs w:val="24"/>
        </w:rPr>
        <w:t xml:space="preserve">le système doit orienter, informer et conseiller l'utilisateur à chaque étape de son interaction. Dans CapAvenir CMR, cela se traduit par une barre de progression visuelle à cinq étapes (Profil → Notes → Tests → Diagnostic → Fiche), qui indique clairement à l'utilisateur sa position dans le processus et les étapes déjà complétées.</w:t>
      </w:r>
    </w:p>
    <w:p>
      <w:pPr>
        <w:pStyle w:val="ListParagraph"/>
        <w:numPr>
          <w:ilvl w:val="0"/>
          <w:numId w:val="2"/>
        </w:numPr>
        <w:spacing w:after="80" w:before="80" w:line="360"/>
      </w:pPr>
      <w:r>
        <w:rPr>
          <w:rFonts w:ascii="Times New Roman" w:cs="Times New Roman" w:eastAsia="Times New Roman" w:hAnsi="Times New Roman"/>
          <w:b/>
          <w:bCs/>
          <w:sz w:val="24"/>
          <w:szCs w:val="24"/>
        </w:rPr>
        <w:t xml:space="preserve">La charge de travail : </w:t>
      </w:r>
      <w:r>
        <w:rPr>
          <w:rFonts w:ascii="Times New Roman" w:cs="Times New Roman" w:eastAsia="Times New Roman" w:hAnsi="Times New Roman"/>
          <w:sz w:val="24"/>
          <w:szCs w:val="24"/>
        </w:rPr>
        <w:t xml:space="preserve">le système doit minimiser la charge cognitive et physique imposée à l'utilisateur. Dans CapAvenir CMR, les calculs de moyennes, d'étalonnage, de SA et de LA sont entièrement automatisés, libérant l'utilisateur de toute computation manuelle.</w:t>
      </w:r>
    </w:p>
    <w:p>
      <w:pPr>
        <w:pStyle w:val="ListParagraph"/>
        <w:numPr>
          <w:ilvl w:val="0"/>
          <w:numId w:val="2"/>
        </w:numPr>
        <w:spacing w:after="80" w:before="80" w:line="360"/>
      </w:pPr>
      <w:r>
        <w:rPr>
          <w:rFonts w:ascii="Times New Roman" w:cs="Times New Roman" w:eastAsia="Times New Roman" w:hAnsi="Times New Roman"/>
          <w:b/>
          <w:bCs/>
          <w:sz w:val="24"/>
          <w:szCs w:val="24"/>
        </w:rPr>
        <w:t xml:space="preserve">Le contrôle explicite : </w:t>
      </w:r>
      <w:r>
        <w:rPr>
          <w:rFonts w:ascii="Times New Roman" w:cs="Times New Roman" w:eastAsia="Times New Roman" w:hAnsi="Times New Roman"/>
          <w:sz w:val="24"/>
          <w:szCs w:val="24"/>
        </w:rPr>
        <w:t xml:space="preserve">le système doit exécuter uniquement les actions explicitement demandées par l'utilisateur. La case à cocher pour activer les trimestres T2 et T3, la sélection du mode de passation des tests (guidée ou saisie directe), et le bouton de génération de la fiche PDF répondent à ce critère.</w:t>
      </w:r>
    </w:p>
    <w:p>
      <w:pPr>
        <w:pStyle w:val="ListParagraph"/>
        <w:numPr>
          <w:ilvl w:val="0"/>
          <w:numId w:val="2"/>
        </w:numPr>
        <w:spacing w:after="80" w:before="80" w:line="360"/>
      </w:pPr>
      <w:r>
        <w:rPr>
          <w:rFonts w:ascii="Times New Roman" w:cs="Times New Roman" w:eastAsia="Times New Roman" w:hAnsi="Times New Roman"/>
          <w:b/>
          <w:bCs/>
          <w:sz w:val="24"/>
          <w:szCs w:val="24"/>
        </w:rPr>
        <w:t xml:space="preserve">L'adaptabilité : </w:t>
      </w:r>
      <w:r>
        <w:rPr>
          <w:rFonts w:ascii="Times New Roman" w:cs="Times New Roman" w:eastAsia="Times New Roman" w:hAnsi="Times New Roman"/>
          <w:sz w:val="24"/>
          <w:szCs w:val="24"/>
        </w:rPr>
        <w:t xml:space="preserve">le système doit s'adapter au niveau et aux besoins de l'utilisateur. Le mode Conseiller, qui déverrouille des informations supplémentaires (scores bruts, deltas, traces additionnelles sur les graphiques), répond à ce critère en différenciant l'expérience selon le profil d'utilisateur.</w:t>
      </w:r>
    </w:p>
    <w:p>
      <w:pPr>
        <w:pStyle w:val="ListParagraph"/>
        <w:numPr>
          <w:ilvl w:val="0"/>
          <w:numId w:val="2"/>
        </w:numPr>
        <w:spacing w:after="80" w:before="80" w:line="360"/>
      </w:pPr>
      <w:r>
        <w:rPr>
          <w:rFonts w:ascii="Times New Roman" w:cs="Times New Roman" w:eastAsia="Times New Roman" w:hAnsi="Times New Roman"/>
          <w:b/>
          <w:bCs/>
          <w:sz w:val="24"/>
          <w:szCs w:val="24"/>
        </w:rPr>
        <w:t xml:space="preserve">La gestion des erreurs : </w:t>
      </w:r>
      <w:r>
        <w:rPr>
          <w:rFonts w:ascii="Times New Roman" w:cs="Times New Roman" w:eastAsia="Times New Roman" w:hAnsi="Times New Roman"/>
          <w:sz w:val="24"/>
          <w:szCs w:val="24"/>
        </w:rPr>
        <w:t xml:space="preserve">le système doit prévenir les erreurs de saisie et aider à les corriger. Les alertes contextuelles (score de confiance faible, conflit de profil détecté, données insuffisantes) remplissent cette fonction.</w:t>
      </w:r>
    </w:p>
    <w:p>
      <w:pPr>
        <w:pStyle w:val="ListParagraph"/>
        <w:numPr>
          <w:ilvl w:val="0"/>
          <w:numId w:val="2"/>
        </w:numPr>
        <w:spacing w:after="80" w:before="80" w:line="360"/>
      </w:pPr>
      <w:r>
        <w:rPr>
          <w:rFonts w:ascii="Times New Roman" w:cs="Times New Roman" w:eastAsia="Times New Roman" w:hAnsi="Times New Roman"/>
          <w:b/>
          <w:bCs/>
          <w:sz w:val="24"/>
          <w:szCs w:val="24"/>
        </w:rPr>
        <w:t xml:space="preserve">La cohérence et homogénéité : </w:t>
      </w:r>
      <w:r>
        <w:rPr>
          <w:rFonts w:ascii="Times New Roman" w:cs="Times New Roman" w:eastAsia="Times New Roman" w:hAnsi="Times New Roman"/>
          <w:sz w:val="24"/>
          <w:szCs w:val="24"/>
        </w:rPr>
        <w:t xml:space="preserve">une charte graphique unifiée (dégradé tricolore, six types d'alertes standardisés, bulles de chat stylisées) assure une expérience visuelle cohérente sur toutes les pages de l'application.</w:t>
      </w:r>
    </w:p>
    <w:p>
      <w:pPr>
        <w:pStyle w:val="Heading3"/>
      </w:pPr>
      <w:r>
        <w:rPr>
          <w:rFonts w:ascii="Times New Roman" w:cs="Times New Roman" w:eastAsia="Times New Roman" w:hAnsi="Times New Roman"/>
          <w:b/>
          <w:bCs/>
          <w:sz w:val="24"/>
          <w:szCs w:val="24"/>
        </w:rPr>
        <w:t xml:space="preserve">2.7.2  Les méthodes d'évaluation ergonomique</w:t>
      </w:r>
    </w:p>
    <w:p>
      <w:pPr>
        <w:spacing w:after="120" w:before="120" w:line="360"/>
        <w:jc w:val="both"/>
      </w:pPr>
      <w:r>
        <w:rPr>
          <w:rFonts w:ascii="Times New Roman" w:cs="Times New Roman" w:eastAsia="Times New Roman" w:hAnsi="Times New Roman"/>
          <w:sz w:val="24"/>
          <w:szCs w:val="24"/>
        </w:rPr>
        <w:t xml:space="preserve">Deux grandes familles de méthodes permettent d'évaluer l'ergonomie d'une application : les tests utilisateurs, qui impliquent des utilisateurs réels accomplissant des tâches représentatives sous observation, et les méthodes d'inspection, qui s'appuient sur l'expertise de spécialistes appliquant des critères standardisés à l'interface (Nielsen, 1994). Dans le cadre de ce travail, nous avons combiné les deux approches : une grille d'inspection fondée sur les critères de Bastien et Scapin (1993) et des sessions d'observation d'utilisateurs cibles (élèves de Troisième et conseillers d'orientation).</w:t>
      </w:r>
    </w:p>
    <w:p>
      <w:pPr>
        <w:pStyle w:val="Heading3"/>
      </w:pPr>
      <w:r>
        <w:rPr>
          <w:rFonts w:ascii="Times New Roman" w:cs="Times New Roman" w:eastAsia="Times New Roman" w:hAnsi="Times New Roman"/>
          <w:b/>
          <w:bCs/>
          <w:sz w:val="24"/>
          <w:szCs w:val="24"/>
        </w:rPr>
        <w:t xml:space="preserve">2.7.3  Les supports numériques dans l'orientation scolaire</w:t>
      </w:r>
    </w:p>
    <w:p>
      <w:pPr>
        <w:spacing w:after="120" w:before="120" w:line="360"/>
        <w:jc w:val="both"/>
      </w:pPr>
      <w:r>
        <w:rPr>
          <w:rFonts w:ascii="Times New Roman" w:cs="Times New Roman" w:eastAsia="Times New Roman" w:hAnsi="Times New Roman"/>
          <w:sz w:val="24"/>
          <w:szCs w:val="24"/>
        </w:rPr>
        <w:t xml:space="preserve">La place des TICE (Technologies de l'Information et de la Communication pour l'Enseignement) dans le soutien à l'orientation scolaire est croissante, même si elle reste embryonnaire dans le contexte camerounais. Selon Vries (2001), les outils numériques éducatifs peuvent être classés en fonction de leur usage principal : information (portails documentaires), simulation (environnements d'exploration de métiers), évaluation (batteries de tests en ligne) et recommandation (systèmes experts ou à base d'apprentissage automatique). CapAvenir CMR se positionne dans les deux dernières catégories, en combinant une évaluation psychotechnique guidée et un système de recommandation automatisée.</w:t>
      </w:r>
    </w:p>
    <w:p>
      <w:pPr>
        <w:spacing w:after="120" w:before="120" w:line="360"/>
        <w:jc w:val="both"/>
      </w:pPr>
      <w:r>
        <w:rPr>
          <w:rFonts w:ascii="Times New Roman" w:cs="Times New Roman" w:eastAsia="Times New Roman" w:hAnsi="Times New Roman"/>
          <w:sz w:val="24"/>
          <w:szCs w:val="24"/>
        </w:rPr>
        <w:t xml:space="preserve">Les recherches en technologies éducatives ont par ailleurs montré que l'utilisation d'outils numériques d'aide à l'orientation augmente significativement l'implication des élèves dans leur processus d'orientation, améliore la qualité de l'information dont ils disposent, et contribue à des décisions d'orientation mieux alignées avec leur profil réel (Watts et Fretwell, 2004). Ces constats valident l'approche adoptée dans ce travail.</w:t>
      </w:r>
    </w:p>
    <w:p>
      <w:pPr>
        <w:spacing w:after="60" w:before="6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2.8  Choix du cadre conceptuel</w:t>
      </w:r>
    </w:p>
    <w:p>
      <w:pPr>
        <w:pStyle w:val="Heading3"/>
      </w:pPr>
      <w:r>
        <w:rPr>
          <w:rFonts w:ascii="Times New Roman" w:cs="Times New Roman" w:eastAsia="Times New Roman" w:hAnsi="Times New Roman"/>
          <w:b/>
          <w:bCs/>
          <w:sz w:val="24"/>
          <w:szCs w:val="24"/>
        </w:rPr>
        <w:t xml:space="preserve">2.8.1  Choix de la méthode de développement logiciel</w:t>
      </w:r>
    </w:p>
    <w:p>
      <w:pPr>
        <w:spacing w:after="120" w:before="120" w:line="360"/>
        <w:jc w:val="both"/>
      </w:pPr>
      <w:r>
        <w:rPr>
          <w:rFonts w:ascii="Times New Roman" w:cs="Times New Roman" w:eastAsia="Times New Roman" w:hAnsi="Times New Roman"/>
          <w:sz w:val="24"/>
          <w:szCs w:val="24"/>
        </w:rPr>
        <w:t xml:space="preserve">À la lumière de la comparaison des différentes méthodes de développement logiciel présentée dans la section 2.6, et au regard des caractéristiques spécifiques du projet CapAvenir CMR, notre choix s'est porté sur la méthode agile SCRUM. Plusieurs raisons motivent ce choix.</w:t>
      </w:r>
    </w:p>
    <w:p>
      <w:pPr>
        <w:spacing w:after="120" w:before="120" w:line="360"/>
        <w:jc w:val="both"/>
      </w:pPr>
      <w:r>
        <w:rPr>
          <w:rFonts w:ascii="Times New Roman" w:cs="Times New Roman" w:eastAsia="Times New Roman" w:hAnsi="Times New Roman"/>
          <w:sz w:val="24"/>
          <w:szCs w:val="24"/>
        </w:rPr>
        <w:t xml:space="preserve">Premièrement, CapAvenir CMR est un projet de taille moyenne — un seul développeur principal assisté d'un petit groupe de travail — dont les besoins ont évolué progressivement au fil des retours des utilisateurs cibles (élèves, conseillers d'orientation). La flexibilité de SCRUM face aux changements de spécifications est donc un atout décisif. Deuxièmement, la contrainte temporelle forte imposée par le calendrier de rédaction du mémoire nécessite des livraisons régulières de versions fonctionnelles de l'application, ce que le découpage en sprints permet précisément d'organiser. Troisièmement, SCRUM favorise une collaboration étroite avec les utilisateurs finaux à chaque fin de sprint, ce qui est essentiel pour un projet dont la valeur repose en grande partie sur l'adéquation de l'interface et des algorithmes aux besoins réels des élèves et des conseillers.</w:t>
      </w:r>
    </w:p>
    <w:p>
      <w:pPr>
        <w:pStyle w:val="Heading3"/>
      </w:pPr>
      <w:r>
        <w:rPr>
          <w:rFonts w:ascii="Times New Roman" w:cs="Times New Roman" w:eastAsia="Times New Roman" w:hAnsi="Times New Roman"/>
          <w:b/>
          <w:bCs/>
          <w:sz w:val="24"/>
          <w:szCs w:val="24"/>
        </w:rPr>
        <w:t xml:space="preserve">2.8.2  Choix de la méthode d'évaluation ergonomique</w:t>
      </w:r>
    </w:p>
    <w:p>
      <w:pPr>
        <w:spacing w:after="120" w:before="120" w:line="360"/>
        <w:jc w:val="both"/>
      </w:pPr>
      <w:r>
        <w:rPr>
          <w:rFonts w:ascii="Times New Roman" w:cs="Times New Roman" w:eastAsia="Times New Roman" w:hAnsi="Times New Roman"/>
          <w:sz w:val="24"/>
          <w:szCs w:val="24"/>
        </w:rPr>
        <w:t xml:space="preserve">Pour l'évaluation ergonomique de CapAvenir CMR, nous avons retenu une approche mixte combinant l'inspection heuristique sur la base des critères de Bastien et Scapin (1993) et des tests utilisateurs ciblés. Cette approche permet, d'une part, de détecter rapidement et à moindre coût les défauts ergonomiques les plus importants grâce à l'inspection heuristique et, d'autre part, de valider les décisions de conception auprès des utilisateurs réels grâce aux tests utilisateurs. Une attention particulière a été portée à l'optimisation de l'interface utilisateur (UI) et de l'expérience utilisateur (UX), notamment pour les modules critiques que sont la passation des tests psychotechniques, l'affichage du diagnostic IA avec son score de confiance, et la visualisation des graphiques radar et barres comparant aptitudes et performances scolaires.</w:t>
      </w:r>
    </w:p>
    <w:p>
      <w:pPr>
        <w:spacing w:after="60" w:before="60"/>
      </w:pPr>
      <w:r>
        <w:rPr>
          <w:rFonts w:ascii="Times New Roman" w:cs="Times New Roman" w:eastAsia="Times New Roman" w:hAnsi="Times New Roman"/>
          <w:sz w:val="24"/>
          <w:szCs w:val="24"/>
        </w:rPr>
        <w:t xml:space="preserve"/>
      </w:r>
    </w:p>
    <w:p>
      <w:pPr>
        <w:pStyle w:val="Heading2"/>
      </w:pPr>
      <w:r>
        <w:rPr>
          <w:rFonts w:ascii="Times New Roman" w:cs="Times New Roman" w:eastAsia="Times New Roman" w:hAnsi="Times New Roman"/>
          <w:b/>
          <w:bCs/>
          <w:sz w:val="26"/>
          <w:szCs w:val="26"/>
        </w:rPr>
        <w:t xml:space="preserve">Conclusion</w:t>
      </w:r>
    </w:p>
    <w:p>
      <w:pPr>
        <w:spacing w:after="120" w:before="120" w:line="360"/>
        <w:jc w:val="both"/>
      </w:pPr>
      <w:r>
        <w:rPr>
          <w:rFonts w:ascii="Times New Roman" w:cs="Times New Roman" w:eastAsia="Times New Roman" w:hAnsi="Times New Roman"/>
          <w:sz w:val="24"/>
          <w:szCs w:val="24"/>
        </w:rPr>
        <w:t xml:space="preserve">Cette revue de la littérature a permis de situer CapAvenir CMR dans un champ scientifique et technique riche et structuré. Elle a mis en évidence plusieurs constats essentiels. D'abord, l'orientation scolaire dispose de fondements théoriques solides — issus de la psychométrie, de la psychologie différentielle et des sciences de l'éducation — qui légitiment le recours aux tests psychotechniques standardisés comme instruments d'objectivation des aptitudes cognitives. Ensuite, l'analyse des applications existantes révèle un vide significatif : aucune solution disponible ne propose une intégration complète des cinq types de données pertinentes pour l'orientation de la Troisième vers la Seconde dans le contexte camerounais. Par ailleurs, les travaux sur les systèmes experts, les moteurs d'inférence à règles et les agents conversationnels à intelligence artificielle fournissent les outils conceptuels et techniques sur lesquels reposent les deux composantes intelligentes de CapAvenir CMR. Enfin, le choix de la méthode SCRUM pour le développement et du référentiel de Bastien et Scapin pour l'évaluation ergonomique est solidement fondé sur les spécificités du projet. Ces bases théoriques et méthodologiques guideront la démarche exposée dans le chapitre suivant, consacré aux matériels et méthodes.</w:t>
      </w:r>
    </w:p>
    <w:sectPr>
      <w:pgSz w:w="11906" w:h="16838" w:orient="portrait"/>
      <w:pgMar w:top="1440" w:right="13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80" w:before="3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2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2026-04-12T07:56:45.492Z</dcterms:created>
  <dcterms:modified xsi:type="dcterms:W3CDTF">2026-04-12T07:56:45.492Z</dcterms:modified>
</cp:coreProperties>
</file>

<file path=docProps/custom.xml><?xml version="1.0" encoding="utf-8"?>
<Properties xmlns="http://schemas.openxmlformats.org/officeDocument/2006/custom-properties" xmlns:vt="http://schemas.openxmlformats.org/officeDocument/2006/docPropsVTypes"/>
</file>